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78E7" w:rsidRDefault="00066267">
      <w:pPr>
        <w:spacing w:line="360" w:lineRule="auto"/>
        <w:jc w:val="center"/>
      </w:pPr>
      <w:r>
        <w:rPr>
          <w:rFonts w:ascii="Times New Roman" w:hAnsi="Times New Roman" w:cs="Times New Roman"/>
          <w:b/>
          <w:sz w:val="24"/>
        </w:rPr>
        <w:t>OBRAZLOŽENJE IZVRŠENJA FINANCIJSKOG PLANA HŽ PUTNIČKOG PRIJEVOZA ZA PRVO POLUGODIŠTE 2025. GODINE</w:t>
      </w:r>
    </w:p>
    <w:p w:rsidR="00C178E7" w:rsidRDefault="00066267">
      <w:pPr>
        <w:spacing w:line="360" w:lineRule="auto"/>
      </w:pPr>
      <w:r>
        <w:rPr>
          <w:rFonts w:ascii="Times New Roman" w:hAnsi="Times New Roman" w:cs="Times New Roman"/>
          <w:b/>
          <w:sz w:val="24"/>
          <w:u w:val="single"/>
        </w:rPr>
        <w:br/>
        <w:t>UVOD</w:t>
      </w:r>
    </w:p>
    <w:p w:rsidR="00C178E7" w:rsidRDefault="00066267">
      <w:pPr>
        <w:spacing w:line="240" w:lineRule="auto"/>
        <w:jc w:val="both"/>
      </w:pPr>
      <w:r>
        <w:rPr>
          <w:rFonts w:ascii="Times New Roman" w:hAnsi="Times New Roman" w:cs="Times New Roman"/>
          <w:sz w:val="24"/>
        </w:rPr>
        <w:t>Sukladno zaključcima Vlade Republike Hrvatske nastavljaju se projekti besplatnog prijevoza djece i učenika, umirovljenika i osoba starijih od 65 godina te stanovnika Sisačko-moslavačke županije pogođenih potresom. Također, od 1. siječnja 2025. omogućen je i besplatan prijevoz redovnih studenata.</w:t>
      </w:r>
    </w:p>
    <w:p w:rsidR="00C178E7" w:rsidRDefault="00066267">
      <w:pPr>
        <w:spacing w:line="240" w:lineRule="auto"/>
        <w:jc w:val="both"/>
      </w:pPr>
      <w:r>
        <w:rPr>
          <w:rFonts w:ascii="Times New Roman" w:hAnsi="Times New Roman" w:cs="Times New Roman"/>
          <w:sz w:val="24"/>
        </w:rPr>
        <w:t>Remonti pruga nastavljaju se na značajnom dijelu pružne mreže HŽ-a, odnosno na relacijama Novska – Sunja, Križevci – Koprivnica, Donji Kraljevec – Kotoriba, Čakovec – Macinec, Koprivnica – Varaždin, Kloštar – Đurđevac, Banova Jaruga – Daruvar, Osijek – Josipovac, Karlovac – Kamanje, Pazin – Sveti Petar u Šumi te pojedinim dionicama Dugo Selo – Vinkovci i Zagreb – Rijeka. Tijekom remonta uvode se usporene vožnje vlakova te zamjenski autobusni prijevoz koji znatno narušava kvalitetu i potražnju za uslugama prijevoza.</w:t>
      </w:r>
    </w:p>
    <w:p w:rsidR="00C178E7" w:rsidRDefault="00066267">
      <w:pPr>
        <w:spacing w:line="240" w:lineRule="auto"/>
        <w:jc w:val="both"/>
      </w:pPr>
      <w:r>
        <w:rPr>
          <w:rFonts w:ascii="Times New Roman" w:hAnsi="Times New Roman" w:cs="Times New Roman"/>
          <w:sz w:val="24"/>
        </w:rPr>
        <w:t>Uz obnovu željezničke infrastrukture, provedba pilot-projekata i nabava novih vlakova pozitivno će utjecati na povećanje broja putnika koji koriste javni željeznički putnički prijevoz.</w:t>
      </w:r>
    </w:p>
    <w:p w:rsidR="00C178E7" w:rsidRDefault="00066267">
      <w:pPr>
        <w:spacing w:line="240" w:lineRule="auto"/>
        <w:jc w:val="both"/>
      </w:pPr>
      <w:r>
        <w:rPr>
          <w:rFonts w:ascii="Times New Roman" w:hAnsi="Times New Roman" w:cs="Times New Roman"/>
          <w:sz w:val="24"/>
        </w:rPr>
        <w:t>U razdoblju I-VI 2025. prevezeno je 12.723 tisuća putnika te je ostvareno 542,6 milijuna putničkih kilometara.</w:t>
      </w:r>
    </w:p>
    <w:p w:rsidR="00C178E7" w:rsidRDefault="00066267">
      <w:pPr>
        <w:spacing w:line="360" w:lineRule="auto"/>
      </w:pPr>
      <w:r>
        <w:rPr>
          <w:rFonts w:ascii="Times New Roman" w:hAnsi="Times New Roman" w:cs="Times New Roman"/>
          <w:b/>
          <w:sz w:val="24"/>
          <w:u w:val="single"/>
        </w:rPr>
        <w:br/>
        <w:t>PRIHODI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2718"/>
        <w:gridCol w:w="1553"/>
        <w:gridCol w:w="1553"/>
        <w:gridCol w:w="1552"/>
        <w:gridCol w:w="971"/>
        <w:gridCol w:w="971"/>
      </w:tblGrid>
      <w:tr w:rsidR="00C178E7">
        <w:tc>
          <w:tcPr>
            <w:tcW w:w="1400" w:type="pct"/>
            <w:shd w:val="clear" w:color="auto" w:fill="BCDFFB"/>
            <w:vAlign w:val="center"/>
          </w:tcPr>
          <w:p w:rsidR="00C178E7" w:rsidRDefault="00066267">
            <w:pPr>
              <w:spacing w:after="0" w:line="240" w:lineRule="auto"/>
              <w:jc w:val="center"/>
            </w:pPr>
            <w:r>
              <w:rPr>
                <w:rFonts w:ascii="Times New Roman" w:hAnsi="Times New Roman" w:cs="Times New Roman"/>
                <w:b/>
                <w:sz w:val="18"/>
              </w:rPr>
              <w:t>BROJČANA OZNAKA I NAZIV</w:t>
            </w:r>
          </w:p>
        </w:tc>
        <w:tc>
          <w:tcPr>
            <w:tcW w:w="800" w:type="pct"/>
            <w:shd w:val="clear" w:color="auto" w:fill="BCDFFB"/>
            <w:vAlign w:val="center"/>
          </w:tcPr>
          <w:p w:rsidR="00C178E7" w:rsidRDefault="00066267">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1.-6. 2024.</w:t>
            </w:r>
          </w:p>
        </w:tc>
        <w:tc>
          <w:tcPr>
            <w:tcW w:w="800" w:type="pct"/>
            <w:shd w:val="clear" w:color="auto" w:fill="BCDFFB"/>
            <w:vAlign w:val="center"/>
          </w:tcPr>
          <w:p w:rsidR="00C178E7" w:rsidRDefault="00066267">
            <w:pPr>
              <w:spacing w:after="0" w:line="240" w:lineRule="auto"/>
              <w:jc w:val="center"/>
            </w:pPr>
            <w:r>
              <w:rPr>
                <w:rFonts w:ascii="Times New Roman" w:hAnsi="Times New Roman" w:cs="Times New Roman"/>
                <w:b/>
                <w:sz w:val="18"/>
              </w:rPr>
              <w:t>PLAN</w:t>
            </w:r>
            <w:r>
              <w:rPr>
                <w:rFonts w:ascii="Times New Roman" w:hAnsi="Times New Roman" w:cs="Times New Roman"/>
                <w:b/>
                <w:sz w:val="18"/>
              </w:rPr>
              <w:br/>
              <w:t>2025.</w:t>
            </w:r>
          </w:p>
        </w:tc>
        <w:tc>
          <w:tcPr>
            <w:tcW w:w="800" w:type="pct"/>
            <w:shd w:val="clear" w:color="auto" w:fill="BCDFFB"/>
            <w:vAlign w:val="center"/>
          </w:tcPr>
          <w:p w:rsidR="00C178E7" w:rsidRDefault="00066267">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1.-6. 2025.</w:t>
            </w:r>
          </w:p>
        </w:tc>
        <w:tc>
          <w:tcPr>
            <w:tcW w:w="500" w:type="pct"/>
            <w:shd w:val="clear" w:color="auto" w:fill="BCDFFB"/>
            <w:vAlign w:val="center"/>
          </w:tcPr>
          <w:p w:rsidR="00C178E7" w:rsidRDefault="00066267">
            <w:pPr>
              <w:spacing w:after="0" w:line="240" w:lineRule="auto"/>
              <w:jc w:val="center"/>
            </w:pPr>
            <w:r>
              <w:rPr>
                <w:rFonts w:ascii="Times New Roman" w:hAnsi="Times New Roman" w:cs="Times New Roman"/>
                <w:b/>
                <w:sz w:val="18"/>
              </w:rPr>
              <w:t>INDEKS</w:t>
            </w:r>
          </w:p>
        </w:tc>
        <w:tc>
          <w:tcPr>
            <w:tcW w:w="500" w:type="pct"/>
            <w:shd w:val="clear" w:color="auto" w:fill="BCDFFB"/>
            <w:vAlign w:val="center"/>
          </w:tcPr>
          <w:p w:rsidR="00C178E7" w:rsidRDefault="00066267">
            <w:pPr>
              <w:spacing w:after="0" w:line="240" w:lineRule="auto"/>
              <w:jc w:val="center"/>
            </w:pPr>
            <w:r>
              <w:rPr>
                <w:rFonts w:ascii="Times New Roman" w:hAnsi="Times New Roman" w:cs="Times New Roman"/>
                <w:b/>
                <w:sz w:val="18"/>
              </w:rPr>
              <w:t>INDEKS</w:t>
            </w:r>
          </w:p>
        </w:tc>
      </w:tr>
      <w:tr w:rsidR="00C178E7">
        <w:tc>
          <w:tcPr>
            <w:tcW w:w="1400" w:type="pct"/>
            <w:shd w:val="clear" w:color="auto" w:fill="BCDFFB"/>
            <w:vAlign w:val="center"/>
          </w:tcPr>
          <w:p w:rsidR="00C178E7" w:rsidRDefault="00066267">
            <w:pPr>
              <w:spacing w:after="0" w:line="240" w:lineRule="auto"/>
              <w:jc w:val="center"/>
            </w:pPr>
            <w:r>
              <w:rPr>
                <w:rFonts w:ascii="Times New Roman" w:hAnsi="Times New Roman" w:cs="Times New Roman"/>
                <w:sz w:val="14"/>
              </w:rPr>
              <w:t>1</w:t>
            </w:r>
          </w:p>
        </w:tc>
        <w:tc>
          <w:tcPr>
            <w:tcW w:w="800" w:type="pct"/>
            <w:shd w:val="clear" w:color="auto" w:fill="BCDFFB"/>
            <w:vAlign w:val="center"/>
          </w:tcPr>
          <w:p w:rsidR="00C178E7" w:rsidRDefault="00066267">
            <w:pPr>
              <w:spacing w:after="0" w:line="240" w:lineRule="auto"/>
              <w:jc w:val="center"/>
            </w:pPr>
            <w:r>
              <w:rPr>
                <w:rFonts w:ascii="Times New Roman" w:hAnsi="Times New Roman" w:cs="Times New Roman"/>
                <w:sz w:val="14"/>
              </w:rPr>
              <w:t>2</w:t>
            </w:r>
          </w:p>
        </w:tc>
        <w:tc>
          <w:tcPr>
            <w:tcW w:w="800" w:type="pct"/>
            <w:shd w:val="clear" w:color="auto" w:fill="BCDFFB"/>
            <w:vAlign w:val="center"/>
          </w:tcPr>
          <w:p w:rsidR="00C178E7" w:rsidRDefault="00066267">
            <w:pPr>
              <w:spacing w:after="0" w:line="240" w:lineRule="auto"/>
              <w:jc w:val="center"/>
            </w:pPr>
            <w:r>
              <w:rPr>
                <w:rFonts w:ascii="Times New Roman" w:hAnsi="Times New Roman" w:cs="Times New Roman"/>
                <w:sz w:val="14"/>
              </w:rPr>
              <w:t>3</w:t>
            </w:r>
          </w:p>
        </w:tc>
        <w:tc>
          <w:tcPr>
            <w:tcW w:w="800" w:type="pct"/>
            <w:shd w:val="clear" w:color="auto" w:fill="BCDFFB"/>
            <w:vAlign w:val="center"/>
          </w:tcPr>
          <w:p w:rsidR="00C178E7" w:rsidRDefault="00066267">
            <w:pPr>
              <w:spacing w:after="0" w:line="240" w:lineRule="auto"/>
              <w:jc w:val="center"/>
            </w:pPr>
            <w:r>
              <w:rPr>
                <w:rFonts w:ascii="Times New Roman" w:hAnsi="Times New Roman" w:cs="Times New Roman"/>
                <w:sz w:val="14"/>
              </w:rPr>
              <w:t>4</w:t>
            </w:r>
          </w:p>
        </w:tc>
        <w:tc>
          <w:tcPr>
            <w:tcW w:w="500" w:type="pct"/>
            <w:shd w:val="clear" w:color="auto" w:fill="BCDFFB"/>
            <w:vAlign w:val="center"/>
          </w:tcPr>
          <w:p w:rsidR="00C178E7" w:rsidRDefault="00066267">
            <w:pPr>
              <w:spacing w:after="0" w:line="240" w:lineRule="auto"/>
              <w:jc w:val="center"/>
            </w:pPr>
            <w:r>
              <w:rPr>
                <w:rFonts w:ascii="Times New Roman" w:hAnsi="Times New Roman" w:cs="Times New Roman"/>
                <w:sz w:val="14"/>
              </w:rPr>
              <w:t>5=4/2</w:t>
            </w:r>
          </w:p>
        </w:tc>
        <w:tc>
          <w:tcPr>
            <w:tcW w:w="500" w:type="pct"/>
            <w:shd w:val="clear" w:color="auto" w:fill="BCDFFB"/>
            <w:vAlign w:val="center"/>
          </w:tcPr>
          <w:p w:rsidR="00C178E7" w:rsidRDefault="00066267">
            <w:pPr>
              <w:spacing w:after="0" w:line="240" w:lineRule="auto"/>
              <w:jc w:val="center"/>
            </w:pPr>
            <w:r>
              <w:rPr>
                <w:rFonts w:ascii="Times New Roman" w:hAnsi="Times New Roman" w:cs="Times New Roman"/>
                <w:sz w:val="14"/>
              </w:rPr>
              <w:t>6=4/3</w:t>
            </w:r>
          </w:p>
        </w:tc>
      </w:tr>
      <w:tr w:rsidR="00C178E7">
        <w:tc>
          <w:tcPr>
            <w:tcW w:w="1400" w:type="pct"/>
            <w:vAlign w:val="bottom"/>
          </w:tcPr>
          <w:p w:rsidR="00C178E7" w:rsidRDefault="00066267">
            <w:pPr>
              <w:spacing w:after="0" w:line="240" w:lineRule="auto"/>
            </w:pPr>
            <w:r>
              <w:rPr>
                <w:rFonts w:ascii="Times New Roman" w:hAnsi="Times New Roman" w:cs="Times New Roman"/>
                <w:sz w:val="18"/>
              </w:rPr>
              <w:t>6 PRIHODI POSLOVANJA</w:t>
            </w:r>
          </w:p>
        </w:tc>
        <w:tc>
          <w:tcPr>
            <w:tcW w:w="800" w:type="pct"/>
            <w:vAlign w:val="bottom"/>
          </w:tcPr>
          <w:p w:rsidR="00C178E7" w:rsidRDefault="00066267">
            <w:pPr>
              <w:spacing w:after="0" w:line="240" w:lineRule="auto"/>
              <w:jc w:val="right"/>
            </w:pPr>
            <w:r>
              <w:rPr>
                <w:rFonts w:ascii="Times New Roman" w:hAnsi="Times New Roman" w:cs="Times New Roman"/>
                <w:sz w:val="18"/>
              </w:rPr>
              <w:t>56.870.049</w:t>
            </w:r>
          </w:p>
        </w:tc>
        <w:tc>
          <w:tcPr>
            <w:tcW w:w="800" w:type="pct"/>
            <w:vAlign w:val="bottom"/>
          </w:tcPr>
          <w:p w:rsidR="00C178E7" w:rsidRDefault="00066267">
            <w:pPr>
              <w:spacing w:after="0" w:line="240" w:lineRule="auto"/>
              <w:jc w:val="right"/>
            </w:pPr>
            <w:r>
              <w:rPr>
                <w:rFonts w:ascii="Times New Roman" w:hAnsi="Times New Roman" w:cs="Times New Roman"/>
                <w:sz w:val="18"/>
              </w:rPr>
              <w:t>187.330.999</w:t>
            </w:r>
          </w:p>
        </w:tc>
        <w:tc>
          <w:tcPr>
            <w:tcW w:w="800" w:type="pct"/>
            <w:vAlign w:val="bottom"/>
          </w:tcPr>
          <w:p w:rsidR="00C178E7" w:rsidRDefault="00066267">
            <w:pPr>
              <w:spacing w:after="0" w:line="240" w:lineRule="auto"/>
              <w:jc w:val="right"/>
            </w:pPr>
            <w:r>
              <w:rPr>
                <w:rFonts w:ascii="Times New Roman" w:hAnsi="Times New Roman" w:cs="Times New Roman"/>
                <w:sz w:val="18"/>
              </w:rPr>
              <w:t>69.245.372</w:t>
            </w:r>
          </w:p>
        </w:tc>
        <w:tc>
          <w:tcPr>
            <w:tcW w:w="500" w:type="pct"/>
            <w:vAlign w:val="bottom"/>
          </w:tcPr>
          <w:p w:rsidR="00C178E7" w:rsidRDefault="00066267">
            <w:pPr>
              <w:spacing w:after="0" w:line="240" w:lineRule="auto"/>
              <w:jc w:val="right"/>
            </w:pPr>
            <w:r>
              <w:rPr>
                <w:rFonts w:ascii="Times New Roman" w:hAnsi="Times New Roman" w:cs="Times New Roman"/>
                <w:sz w:val="18"/>
              </w:rPr>
              <w:t>121,8</w:t>
            </w:r>
          </w:p>
        </w:tc>
        <w:tc>
          <w:tcPr>
            <w:tcW w:w="500" w:type="pct"/>
            <w:vAlign w:val="bottom"/>
          </w:tcPr>
          <w:p w:rsidR="00C178E7" w:rsidRDefault="00066267">
            <w:pPr>
              <w:spacing w:after="0" w:line="240" w:lineRule="auto"/>
              <w:jc w:val="right"/>
            </w:pPr>
            <w:r>
              <w:rPr>
                <w:rFonts w:ascii="Times New Roman" w:hAnsi="Times New Roman" w:cs="Times New Roman"/>
                <w:sz w:val="18"/>
              </w:rPr>
              <w:t>37,0</w:t>
            </w:r>
          </w:p>
        </w:tc>
      </w:tr>
      <w:tr w:rsidR="00C178E7">
        <w:tc>
          <w:tcPr>
            <w:tcW w:w="1400" w:type="pct"/>
            <w:vAlign w:val="bottom"/>
          </w:tcPr>
          <w:p w:rsidR="00C178E7" w:rsidRDefault="00066267">
            <w:pPr>
              <w:spacing w:after="0" w:line="240" w:lineRule="auto"/>
            </w:pPr>
            <w:r>
              <w:rPr>
                <w:rFonts w:ascii="Times New Roman" w:hAnsi="Times New Roman" w:cs="Times New Roman"/>
                <w:sz w:val="18"/>
              </w:rPr>
              <w:t>7 PRIHODI OD PRODAJE NEFINANCIJSKE IMOVINE</w:t>
            </w:r>
          </w:p>
        </w:tc>
        <w:tc>
          <w:tcPr>
            <w:tcW w:w="800" w:type="pct"/>
            <w:vAlign w:val="bottom"/>
          </w:tcPr>
          <w:p w:rsidR="00C178E7" w:rsidRDefault="00066267">
            <w:pPr>
              <w:spacing w:after="0" w:line="240" w:lineRule="auto"/>
              <w:jc w:val="right"/>
            </w:pPr>
            <w:r>
              <w:rPr>
                <w:rFonts w:ascii="Times New Roman" w:hAnsi="Times New Roman" w:cs="Times New Roman"/>
                <w:sz w:val="18"/>
              </w:rPr>
              <w:t>4.500</w:t>
            </w:r>
          </w:p>
        </w:tc>
        <w:tc>
          <w:tcPr>
            <w:tcW w:w="800" w:type="pct"/>
            <w:vAlign w:val="bottom"/>
          </w:tcPr>
          <w:p w:rsidR="00C178E7" w:rsidRDefault="00066267">
            <w:pPr>
              <w:spacing w:after="0" w:line="240" w:lineRule="auto"/>
              <w:jc w:val="right"/>
            </w:pPr>
            <w:r>
              <w:rPr>
                <w:rFonts w:ascii="Times New Roman" w:hAnsi="Times New Roman" w:cs="Times New Roman"/>
                <w:sz w:val="18"/>
              </w:rPr>
              <w:t>50.000</w:t>
            </w:r>
          </w:p>
        </w:tc>
        <w:tc>
          <w:tcPr>
            <w:tcW w:w="800" w:type="pct"/>
            <w:vAlign w:val="bottom"/>
          </w:tcPr>
          <w:p w:rsidR="00C178E7" w:rsidRDefault="00066267">
            <w:pPr>
              <w:spacing w:after="0" w:line="240" w:lineRule="auto"/>
              <w:jc w:val="right"/>
            </w:pPr>
            <w:r>
              <w:rPr>
                <w:rFonts w:ascii="Times New Roman" w:hAnsi="Times New Roman" w:cs="Times New Roman"/>
                <w:sz w:val="18"/>
              </w:rPr>
              <w:t>141.962</w:t>
            </w:r>
          </w:p>
        </w:tc>
        <w:tc>
          <w:tcPr>
            <w:tcW w:w="500" w:type="pct"/>
            <w:vAlign w:val="bottom"/>
          </w:tcPr>
          <w:p w:rsidR="00C178E7" w:rsidRDefault="00066267">
            <w:pPr>
              <w:spacing w:after="0" w:line="240" w:lineRule="auto"/>
              <w:jc w:val="right"/>
            </w:pPr>
            <w:r>
              <w:rPr>
                <w:rFonts w:ascii="Times New Roman" w:hAnsi="Times New Roman" w:cs="Times New Roman"/>
                <w:sz w:val="18"/>
              </w:rPr>
              <w:t>3154,7</w:t>
            </w:r>
          </w:p>
        </w:tc>
        <w:tc>
          <w:tcPr>
            <w:tcW w:w="500" w:type="pct"/>
            <w:vAlign w:val="bottom"/>
          </w:tcPr>
          <w:p w:rsidR="00C178E7" w:rsidRDefault="00066267">
            <w:pPr>
              <w:spacing w:after="0" w:line="240" w:lineRule="auto"/>
              <w:jc w:val="right"/>
            </w:pPr>
            <w:r>
              <w:rPr>
                <w:rFonts w:ascii="Times New Roman" w:hAnsi="Times New Roman" w:cs="Times New Roman"/>
                <w:sz w:val="18"/>
              </w:rPr>
              <w:t>283,9</w:t>
            </w:r>
          </w:p>
        </w:tc>
      </w:tr>
      <w:tr w:rsidR="00C178E7">
        <w:tc>
          <w:tcPr>
            <w:tcW w:w="1400" w:type="pct"/>
            <w:vAlign w:val="bottom"/>
          </w:tcPr>
          <w:p w:rsidR="00C178E7" w:rsidRDefault="00066267">
            <w:pPr>
              <w:spacing w:after="0" w:line="240" w:lineRule="auto"/>
            </w:pPr>
            <w:r>
              <w:rPr>
                <w:rFonts w:ascii="Times New Roman" w:hAnsi="Times New Roman" w:cs="Times New Roman"/>
                <w:b/>
                <w:sz w:val="18"/>
              </w:rPr>
              <w:t>UKUPNI PRIHODI</w:t>
            </w:r>
          </w:p>
        </w:tc>
        <w:tc>
          <w:tcPr>
            <w:tcW w:w="800" w:type="pct"/>
            <w:vAlign w:val="bottom"/>
          </w:tcPr>
          <w:p w:rsidR="00C178E7" w:rsidRDefault="00066267">
            <w:pPr>
              <w:spacing w:after="0" w:line="240" w:lineRule="auto"/>
              <w:jc w:val="right"/>
            </w:pPr>
            <w:r>
              <w:rPr>
                <w:rFonts w:ascii="Times New Roman" w:hAnsi="Times New Roman" w:cs="Times New Roman"/>
                <w:b/>
                <w:sz w:val="18"/>
              </w:rPr>
              <w:t>56.874.549</w:t>
            </w:r>
          </w:p>
        </w:tc>
        <w:tc>
          <w:tcPr>
            <w:tcW w:w="800" w:type="pct"/>
            <w:vAlign w:val="bottom"/>
          </w:tcPr>
          <w:p w:rsidR="00C178E7" w:rsidRDefault="00066267">
            <w:pPr>
              <w:spacing w:after="0" w:line="240" w:lineRule="auto"/>
              <w:jc w:val="right"/>
            </w:pPr>
            <w:r>
              <w:rPr>
                <w:rFonts w:ascii="Times New Roman" w:hAnsi="Times New Roman" w:cs="Times New Roman"/>
                <w:b/>
                <w:sz w:val="18"/>
              </w:rPr>
              <w:t>187.380.999</w:t>
            </w:r>
          </w:p>
        </w:tc>
        <w:tc>
          <w:tcPr>
            <w:tcW w:w="800" w:type="pct"/>
            <w:vAlign w:val="bottom"/>
          </w:tcPr>
          <w:p w:rsidR="00C178E7" w:rsidRDefault="00066267">
            <w:pPr>
              <w:spacing w:after="0" w:line="240" w:lineRule="auto"/>
              <w:jc w:val="right"/>
            </w:pPr>
            <w:r>
              <w:rPr>
                <w:rFonts w:ascii="Times New Roman" w:hAnsi="Times New Roman" w:cs="Times New Roman"/>
                <w:b/>
                <w:sz w:val="18"/>
              </w:rPr>
              <w:t>69.387.334</w:t>
            </w:r>
          </w:p>
        </w:tc>
        <w:tc>
          <w:tcPr>
            <w:tcW w:w="500" w:type="pct"/>
            <w:vAlign w:val="bottom"/>
          </w:tcPr>
          <w:p w:rsidR="00C178E7" w:rsidRDefault="00066267">
            <w:pPr>
              <w:spacing w:after="0" w:line="240" w:lineRule="auto"/>
              <w:jc w:val="right"/>
            </w:pPr>
            <w:r>
              <w:rPr>
                <w:rFonts w:ascii="Times New Roman" w:hAnsi="Times New Roman" w:cs="Times New Roman"/>
                <w:b/>
                <w:sz w:val="18"/>
              </w:rPr>
              <w:t>122,0</w:t>
            </w:r>
          </w:p>
        </w:tc>
        <w:tc>
          <w:tcPr>
            <w:tcW w:w="500" w:type="pct"/>
            <w:vAlign w:val="bottom"/>
          </w:tcPr>
          <w:p w:rsidR="00C178E7" w:rsidRDefault="00066267">
            <w:pPr>
              <w:spacing w:after="0" w:line="240" w:lineRule="auto"/>
              <w:jc w:val="right"/>
            </w:pPr>
            <w:r>
              <w:rPr>
                <w:rFonts w:ascii="Times New Roman" w:hAnsi="Times New Roman" w:cs="Times New Roman"/>
                <w:b/>
                <w:sz w:val="18"/>
              </w:rPr>
              <w:t>37,0</w:t>
            </w:r>
          </w:p>
        </w:tc>
      </w:tr>
    </w:tbl>
    <w:p w:rsidR="00C178E7" w:rsidRDefault="00C178E7">
      <w:pPr>
        <w:spacing w:after="0" w:line="240" w:lineRule="auto"/>
      </w:pPr>
    </w:p>
    <w:p w:rsidR="00C178E7" w:rsidRDefault="00066267">
      <w:pPr>
        <w:spacing w:line="240" w:lineRule="auto"/>
        <w:jc w:val="both"/>
      </w:pPr>
      <w:r>
        <w:rPr>
          <w:rFonts w:ascii="Times New Roman" w:hAnsi="Times New Roman" w:cs="Times New Roman"/>
          <w:color w:val="000000"/>
          <w:sz w:val="24"/>
        </w:rPr>
        <w:t>Ukupni prihodi</w:t>
      </w:r>
      <w:r>
        <w:rPr>
          <w:rFonts w:ascii="Times New Roman" w:hAnsi="Times New Roman" w:cs="Times New Roman"/>
          <w:b/>
          <w:color w:val="000000"/>
          <w:sz w:val="24"/>
        </w:rPr>
        <w:t xml:space="preserve"> </w:t>
      </w:r>
      <w:r>
        <w:rPr>
          <w:rFonts w:ascii="Times New Roman" w:hAnsi="Times New Roman" w:cs="Times New Roman"/>
          <w:color w:val="000000"/>
          <w:sz w:val="24"/>
        </w:rPr>
        <w:t xml:space="preserve">za prvo polugodište 2025. ostvareni su u iznosu od 69.387.334 eura što čini 37,0 % godišnjeg plana te su za 22,0 % veći u odnosu na isto razdoblje 2024. godine. </w:t>
      </w:r>
    </w:p>
    <w:p w:rsidR="00C178E7" w:rsidRDefault="00066267">
      <w:pPr>
        <w:spacing w:line="240" w:lineRule="auto"/>
        <w:jc w:val="both"/>
      </w:pPr>
      <w:r>
        <w:rPr>
          <w:rFonts w:ascii="Times New Roman" w:hAnsi="Times New Roman" w:cs="Times New Roman"/>
          <w:sz w:val="24"/>
        </w:rPr>
        <w:t xml:space="preserve">Prihodi poslovanja iznose 69.245.372 eura, što je 37,0 % plana te su za 21,8 % veći u odnosu na isto razdoblje 2024. godine. </w:t>
      </w:r>
    </w:p>
    <w:p w:rsidR="00C178E7" w:rsidRDefault="00066267">
      <w:pPr>
        <w:spacing w:line="240" w:lineRule="auto"/>
        <w:jc w:val="both"/>
      </w:pPr>
      <w:r>
        <w:rPr>
          <w:rFonts w:ascii="Times New Roman" w:hAnsi="Times New Roman" w:cs="Times New Roman"/>
          <w:sz w:val="24"/>
        </w:rPr>
        <w:t xml:space="preserve">U ukupnim prihodima poslovanja HŽ Putničkog prijevoza najveći udio odnosi se na pomoći proračunu iz drugih proračuna i izvanproračunskim korisnicima što uključuje  Ugovor o javnim uslugama od općeg gospodarskog interesa u javnom željezničkom prijevozu u Republici Hrvatskoj u iznosu od 57.753.233 eura. </w:t>
      </w:r>
    </w:p>
    <w:p w:rsidR="00C178E7" w:rsidRDefault="00066267">
      <w:pPr>
        <w:spacing w:line="240" w:lineRule="auto"/>
        <w:jc w:val="both"/>
      </w:pPr>
      <w:r>
        <w:rPr>
          <w:rFonts w:ascii="Times New Roman" w:hAnsi="Times New Roman" w:cs="Times New Roman"/>
          <w:color w:val="000000"/>
          <w:sz w:val="24"/>
        </w:rPr>
        <w:t xml:space="preserve">Ostali prihodi sastoje se od prihoda od financijske imovine u </w:t>
      </w:r>
      <w:r>
        <w:rPr>
          <w:rFonts w:ascii="Times New Roman" w:hAnsi="Times New Roman" w:cs="Times New Roman"/>
          <w:sz w:val="24"/>
        </w:rPr>
        <w:t xml:space="preserve">iznosu od 257.329 eura, prihoda od nefinancijske imovine u iznosu od 1.571.781 euro (prihodi od zakupa vagona i lokomotiva, naknade šteta od osiguranja, naplaćena potraživanja na ispravku vrijednosti, naplaćeni prihodi po </w:t>
      </w:r>
      <w:r>
        <w:rPr>
          <w:rFonts w:ascii="Times New Roman" w:hAnsi="Times New Roman" w:cs="Times New Roman"/>
          <w:sz w:val="24"/>
        </w:rPr>
        <w:lastRenderedPageBreak/>
        <w:t xml:space="preserve">sudskim rješenjima), prihoda od prodaje </w:t>
      </w:r>
      <w:r>
        <w:rPr>
          <w:rFonts w:ascii="Times New Roman" w:hAnsi="Times New Roman" w:cs="Times New Roman"/>
          <w:color w:val="000000"/>
          <w:sz w:val="24"/>
        </w:rPr>
        <w:t xml:space="preserve">proizvoda i robe te pruženih usluga u iznosu od 9.323.928 eura (prihodi od prodaje karata u unutarnjem i međunarodnom prijevozu). </w:t>
      </w:r>
    </w:p>
    <w:p w:rsidR="00C178E7" w:rsidRDefault="00066267">
      <w:pPr>
        <w:spacing w:line="240" w:lineRule="auto"/>
        <w:jc w:val="both"/>
      </w:pPr>
      <w:r>
        <w:rPr>
          <w:rFonts w:ascii="Times New Roman" w:hAnsi="Times New Roman" w:cs="Times New Roman"/>
          <w:color w:val="000000"/>
          <w:sz w:val="24"/>
        </w:rPr>
        <w:t>Prihodi od prodaje nefinancijske imovine iznose 141.962 eura.</w:t>
      </w:r>
    </w:p>
    <w:p w:rsidR="00C178E7" w:rsidRDefault="00066267">
      <w:pPr>
        <w:spacing w:line="240" w:lineRule="auto"/>
        <w:jc w:val="both"/>
      </w:pPr>
      <w:r>
        <w:rPr>
          <w:rFonts w:ascii="Times New Roman" w:hAnsi="Times New Roman" w:cs="Times New Roman"/>
          <w:color w:val="000000"/>
          <w:sz w:val="24"/>
        </w:rPr>
        <w:t>Ukupni prihodi veći su u odnosu na 2024. temeljem većih prihoda na stavci Tekuć</w:t>
      </w:r>
      <w:r w:rsidR="00172CE0">
        <w:rPr>
          <w:rFonts w:ascii="Times New Roman" w:hAnsi="Times New Roman" w:cs="Times New Roman"/>
          <w:color w:val="000000"/>
          <w:sz w:val="24"/>
        </w:rPr>
        <w:t>e</w:t>
      </w:r>
      <w:bookmarkStart w:id="0" w:name="_GoBack"/>
      <w:bookmarkEnd w:id="0"/>
      <w:r>
        <w:rPr>
          <w:rFonts w:ascii="Times New Roman" w:hAnsi="Times New Roman" w:cs="Times New Roman"/>
          <w:color w:val="000000"/>
          <w:sz w:val="24"/>
        </w:rPr>
        <w:t xml:space="preserve"> pomoći proračunu i izvanproračunskim korisnicima iz drugih proračuna zbog povećanja prihoda po Ugovoru o javnim uslugama za usluge od općeg gospodarskog interesa u javnom željezničkom prijevozu u Republici Hrvatskoj (PSO ugovor). Na povećanje stavke utjecao je izostali vlastiti prihod na temelju provedbe projekata besplatnog željezničkog prijevoza učenika osnovnih i srednjih škola, redovnih studenata te umirovljenika i osoba starijih od 65 godina te besplatnog prijevoza za stanovnike s područja Sisačko-moslavačke županije. Nadalje, uslijed izvođenja radova na cijeloj željezničkoj mreži uvode se zatvori pruga, smanjuju se brzine prometovanja vlakova za prijevoz putnika te se uvode usporene vožnje, česte su supstitucije vlakova autobusima što iziskuje dvostruke prijevozne kapacitete. Također, povećani su troškovi tekućeg održavanja voznog parka uslijed povećanja cijena te povećanja broja vozila koja zbog starosti ulaze u ciklus popravaka najviše razine. Sve navedeno uzrokuje povećanje troškova eksploatacije i do 40% zbog povećanih potreba za vozilima i radom. Prema tome, smanjenje vlastitih prihoda od prijevoza i povećanje troškova utjecalo je na povećanje prihoda po PSO ugovoru.</w:t>
      </w:r>
    </w:p>
    <w:p w:rsidR="00C178E7" w:rsidRDefault="00066267">
      <w:pPr>
        <w:spacing w:line="360" w:lineRule="auto"/>
      </w:pPr>
      <w:r>
        <w:rPr>
          <w:rFonts w:ascii="Times New Roman" w:hAnsi="Times New Roman" w:cs="Times New Roman"/>
          <w:b/>
          <w:sz w:val="24"/>
          <w:u w:val="single"/>
        </w:rPr>
        <w:br/>
        <w:t>RASHODI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2718"/>
        <w:gridCol w:w="1553"/>
        <w:gridCol w:w="1553"/>
        <w:gridCol w:w="1552"/>
        <w:gridCol w:w="971"/>
        <w:gridCol w:w="971"/>
      </w:tblGrid>
      <w:tr w:rsidR="00C178E7">
        <w:tc>
          <w:tcPr>
            <w:tcW w:w="1400" w:type="pct"/>
            <w:shd w:val="clear" w:color="auto" w:fill="BCDFFB"/>
            <w:vAlign w:val="center"/>
          </w:tcPr>
          <w:p w:rsidR="00C178E7" w:rsidRDefault="00066267">
            <w:pPr>
              <w:spacing w:after="0" w:line="240" w:lineRule="auto"/>
              <w:jc w:val="center"/>
            </w:pPr>
            <w:r>
              <w:rPr>
                <w:rFonts w:ascii="Times New Roman" w:hAnsi="Times New Roman" w:cs="Times New Roman"/>
                <w:b/>
                <w:sz w:val="18"/>
              </w:rPr>
              <w:t>BROJČANA OZNAKA I NAZIV</w:t>
            </w:r>
          </w:p>
        </w:tc>
        <w:tc>
          <w:tcPr>
            <w:tcW w:w="800" w:type="pct"/>
            <w:shd w:val="clear" w:color="auto" w:fill="BCDFFB"/>
            <w:vAlign w:val="center"/>
          </w:tcPr>
          <w:p w:rsidR="00C178E7" w:rsidRDefault="00066267">
            <w:pPr>
              <w:spacing w:after="0" w:line="240" w:lineRule="auto"/>
              <w:jc w:val="center"/>
            </w:pPr>
            <w:r>
              <w:rPr>
                <w:rFonts w:ascii="Times New Roman" w:hAnsi="Times New Roman" w:cs="Times New Roman"/>
                <w:b/>
                <w:sz w:val="18"/>
              </w:rPr>
              <w:t>IZVRŠENJE</w:t>
            </w:r>
            <w:r>
              <w:rPr>
                <w:rFonts w:ascii="Times New Roman" w:hAnsi="Times New Roman" w:cs="Times New Roman"/>
                <w:b/>
                <w:sz w:val="18"/>
              </w:rPr>
              <w:br/>
              <w:t>1.-6. 2024.</w:t>
            </w:r>
          </w:p>
        </w:tc>
        <w:tc>
          <w:tcPr>
            <w:tcW w:w="800" w:type="pct"/>
            <w:shd w:val="clear" w:color="auto" w:fill="BCDFFB"/>
            <w:vAlign w:val="center"/>
          </w:tcPr>
          <w:p w:rsidR="00C178E7" w:rsidRDefault="00066267">
            <w:pPr>
              <w:spacing w:after="0" w:line="240" w:lineRule="auto"/>
              <w:jc w:val="center"/>
            </w:pPr>
            <w:r>
              <w:rPr>
                <w:rFonts w:ascii="Times New Roman" w:hAnsi="Times New Roman" w:cs="Times New Roman"/>
                <w:b/>
                <w:sz w:val="18"/>
              </w:rPr>
              <w:t>PLAN</w:t>
            </w:r>
            <w:r>
              <w:rPr>
                <w:rFonts w:ascii="Times New Roman" w:hAnsi="Times New Roman" w:cs="Times New Roman"/>
                <w:b/>
                <w:sz w:val="18"/>
              </w:rPr>
              <w:br/>
              <w:t>2025.</w:t>
            </w:r>
          </w:p>
        </w:tc>
        <w:tc>
          <w:tcPr>
            <w:tcW w:w="800" w:type="pct"/>
            <w:shd w:val="clear" w:color="auto" w:fill="BCDFFB"/>
            <w:vAlign w:val="center"/>
          </w:tcPr>
          <w:p w:rsidR="00C178E7" w:rsidRDefault="00066267">
            <w:pPr>
              <w:spacing w:after="0" w:line="240" w:lineRule="auto"/>
              <w:jc w:val="center"/>
            </w:pPr>
            <w:r>
              <w:rPr>
                <w:rFonts w:ascii="Times New Roman" w:hAnsi="Times New Roman" w:cs="Times New Roman"/>
                <w:b/>
                <w:sz w:val="18"/>
              </w:rPr>
              <w:t>IZVRŠENJE</w:t>
            </w:r>
            <w:r>
              <w:rPr>
                <w:rFonts w:ascii="Times New Roman" w:hAnsi="Times New Roman" w:cs="Times New Roman"/>
                <w:b/>
                <w:sz w:val="18"/>
              </w:rPr>
              <w:br/>
              <w:t>1.-6. 2025.</w:t>
            </w:r>
          </w:p>
        </w:tc>
        <w:tc>
          <w:tcPr>
            <w:tcW w:w="500" w:type="pct"/>
            <w:shd w:val="clear" w:color="auto" w:fill="BCDFFB"/>
            <w:vAlign w:val="center"/>
          </w:tcPr>
          <w:p w:rsidR="00C178E7" w:rsidRDefault="00066267">
            <w:pPr>
              <w:spacing w:after="0" w:line="240" w:lineRule="auto"/>
              <w:jc w:val="center"/>
            </w:pPr>
            <w:r>
              <w:rPr>
                <w:rFonts w:ascii="Times New Roman" w:hAnsi="Times New Roman" w:cs="Times New Roman"/>
                <w:b/>
                <w:sz w:val="18"/>
              </w:rPr>
              <w:t>INDEKS</w:t>
            </w:r>
          </w:p>
        </w:tc>
        <w:tc>
          <w:tcPr>
            <w:tcW w:w="500" w:type="pct"/>
            <w:shd w:val="clear" w:color="auto" w:fill="BCDFFB"/>
            <w:vAlign w:val="center"/>
          </w:tcPr>
          <w:p w:rsidR="00C178E7" w:rsidRDefault="00066267">
            <w:pPr>
              <w:spacing w:after="0" w:line="240" w:lineRule="auto"/>
              <w:jc w:val="center"/>
            </w:pPr>
            <w:r>
              <w:rPr>
                <w:rFonts w:ascii="Times New Roman" w:hAnsi="Times New Roman" w:cs="Times New Roman"/>
                <w:b/>
                <w:sz w:val="18"/>
              </w:rPr>
              <w:t>INDEKS</w:t>
            </w:r>
          </w:p>
        </w:tc>
      </w:tr>
      <w:tr w:rsidR="00C178E7">
        <w:tc>
          <w:tcPr>
            <w:tcW w:w="1400" w:type="pct"/>
            <w:shd w:val="clear" w:color="auto" w:fill="BCDFFB"/>
            <w:vAlign w:val="center"/>
          </w:tcPr>
          <w:p w:rsidR="00C178E7" w:rsidRDefault="00066267">
            <w:pPr>
              <w:spacing w:after="0" w:line="240" w:lineRule="auto"/>
              <w:jc w:val="center"/>
            </w:pPr>
            <w:r>
              <w:rPr>
                <w:rFonts w:ascii="Times New Roman" w:hAnsi="Times New Roman" w:cs="Times New Roman"/>
                <w:sz w:val="14"/>
              </w:rPr>
              <w:t>1</w:t>
            </w:r>
          </w:p>
        </w:tc>
        <w:tc>
          <w:tcPr>
            <w:tcW w:w="800" w:type="pct"/>
            <w:shd w:val="clear" w:color="auto" w:fill="BCDFFB"/>
            <w:vAlign w:val="center"/>
          </w:tcPr>
          <w:p w:rsidR="00C178E7" w:rsidRDefault="00066267">
            <w:pPr>
              <w:spacing w:after="0" w:line="240" w:lineRule="auto"/>
              <w:jc w:val="center"/>
            </w:pPr>
            <w:r>
              <w:rPr>
                <w:rFonts w:ascii="Times New Roman" w:hAnsi="Times New Roman" w:cs="Times New Roman"/>
                <w:sz w:val="14"/>
              </w:rPr>
              <w:t>2</w:t>
            </w:r>
          </w:p>
        </w:tc>
        <w:tc>
          <w:tcPr>
            <w:tcW w:w="800" w:type="pct"/>
            <w:shd w:val="clear" w:color="auto" w:fill="BCDFFB"/>
            <w:vAlign w:val="center"/>
          </w:tcPr>
          <w:p w:rsidR="00C178E7" w:rsidRDefault="00066267">
            <w:pPr>
              <w:spacing w:after="0" w:line="240" w:lineRule="auto"/>
              <w:jc w:val="center"/>
            </w:pPr>
            <w:r>
              <w:rPr>
                <w:rFonts w:ascii="Times New Roman" w:hAnsi="Times New Roman" w:cs="Times New Roman"/>
                <w:sz w:val="14"/>
              </w:rPr>
              <w:t>3</w:t>
            </w:r>
          </w:p>
        </w:tc>
        <w:tc>
          <w:tcPr>
            <w:tcW w:w="800" w:type="pct"/>
            <w:shd w:val="clear" w:color="auto" w:fill="BCDFFB"/>
            <w:vAlign w:val="center"/>
          </w:tcPr>
          <w:p w:rsidR="00C178E7" w:rsidRDefault="00066267">
            <w:pPr>
              <w:spacing w:after="0" w:line="240" w:lineRule="auto"/>
              <w:jc w:val="center"/>
            </w:pPr>
            <w:r>
              <w:rPr>
                <w:rFonts w:ascii="Times New Roman" w:hAnsi="Times New Roman" w:cs="Times New Roman"/>
                <w:sz w:val="14"/>
              </w:rPr>
              <w:t>4</w:t>
            </w:r>
          </w:p>
        </w:tc>
        <w:tc>
          <w:tcPr>
            <w:tcW w:w="500" w:type="pct"/>
            <w:shd w:val="clear" w:color="auto" w:fill="BCDFFB"/>
            <w:vAlign w:val="center"/>
          </w:tcPr>
          <w:p w:rsidR="00C178E7" w:rsidRDefault="00066267">
            <w:pPr>
              <w:spacing w:after="0" w:line="240" w:lineRule="auto"/>
              <w:jc w:val="center"/>
            </w:pPr>
            <w:r>
              <w:rPr>
                <w:rFonts w:ascii="Times New Roman" w:hAnsi="Times New Roman" w:cs="Times New Roman"/>
                <w:sz w:val="14"/>
              </w:rPr>
              <w:t>5=4/2</w:t>
            </w:r>
          </w:p>
        </w:tc>
        <w:tc>
          <w:tcPr>
            <w:tcW w:w="500" w:type="pct"/>
            <w:shd w:val="clear" w:color="auto" w:fill="BCDFFB"/>
            <w:vAlign w:val="center"/>
          </w:tcPr>
          <w:p w:rsidR="00C178E7" w:rsidRDefault="00066267">
            <w:pPr>
              <w:spacing w:after="0" w:line="240" w:lineRule="auto"/>
              <w:jc w:val="center"/>
            </w:pPr>
            <w:r>
              <w:rPr>
                <w:rFonts w:ascii="Times New Roman" w:hAnsi="Times New Roman" w:cs="Times New Roman"/>
                <w:sz w:val="14"/>
              </w:rPr>
              <w:t>6=4/3</w:t>
            </w:r>
          </w:p>
        </w:tc>
      </w:tr>
      <w:tr w:rsidR="00C178E7">
        <w:tc>
          <w:tcPr>
            <w:tcW w:w="1400" w:type="pct"/>
            <w:vAlign w:val="center"/>
          </w:tcPr>
          <w:p w:rsidR="00C178E7" w:rsidRDefault="00066267">
            <w:pPr>
              <w:spacing w:after="0" w:line="240" w:lineRule="auto"/>
            </w:pPr>
            <w:r>
              <w:rPr>
                <w:rFonts w:ascii="Times New Roman" w:hAnsi="Times New Roman" w:cs="Times New Roman"/>
                <w:sz w:val="18"/>
              </w:rPr>
              <w:t>3 RASHODI POSLOVANJA</w:t>
            </w:r>
          </w:p>
        </w:tc>
        <w:tc>
          <w:tcPr>
            <w:tcW w:w="800" w:type="pct"/>
            <w:vAlign w:val="bottom"/>
          </w:tcPr>
          <w:p w:rsidR="00C178E7" w:rsidRDefault="00066267">
            <w:pPr>
              <w:spacing w:after="0" w:line="240" w:lineRule="auto"/>
              <w:jc w:val="right"/>
            </w:pPr>
            <w:r>
              <w:rPr>
                <w:rFonts w:ascii="Times New Roman" w:hAnsi="Times New Roman" w:cs="Times New Roman"/>
                <w:sz w:val="18"/>
              </w:rPr>
              <w:t>47.921.975</w:t>
            </w:r>
          </w:p>
        </w:tc>
        <w:tc>
          <w:tcPr>
            <w:tcW w:w="800" w:type="pct"/>
            <w:vAlign w:val="bottom"/>
          </w:tcPr>
          <w:p w:rsidR="00C178E7" w:rsidRDefault="00066267">
            <w:pPr>
              <w:spacing w:after="0" w:line="240" w:lineRule="auto"/>
              <w:jc w:val="right"/>
            </w:pPr>
            <w:r>
              <w:rPr>
                <w:rFonts w:ascii="Times New Roman" w:hAnsi="Times New Roman" w:cs="Times New Roman"/>
                <w:sz w:val="18"/>
              </w:rPr>
              <w:t>131.248.015</w:t>
            </w:r>
          </w:p>
        </w:tc>
        <w:tc>
          <w:tcPr>
            <w:tcW w:w="800" w:type="pct"/>
            <w:vAlign w:val="bottom"/>
          </w:tcPr>
          <w:p w:rsidR="00C178E7" w:rsidRDefault="00066267">
            <w:pPr>
              <w:spacing w:after="0" w:line="240" w:lineRule="auto"/>
              <w:jc w:val="right"/>
            </w:pPr>
            <w:r>
              <w:rPr>
                <w:rFonts w:ascii="Times New Roman" w:hAnsi="Times New Roman" w:cs="Times New Roman"/>
                <w:sz w:val="18"/>
              </w:rPr>
              <w:t>60.202.429</w:t>
            </w:r>
          </w:p>
        </w:tc>
        <w:tc>
          <w:tcPr>
            <w:tcW w:w="500" w:type="pct"/>
            <w:vAlign w:val="bottom"/>
          </w:tcPr>
          <w:p w:rsidR="00C178E7" w:rsidRDefault="00066267">
            <w:pPr>
              <w:spacing w:after="0" w:line="240" w:lineRule="auto"/>
              <w:jc w:val="right"/>
            </w:pPr>
            <w:r>
              <w:rPr>
                <w:rFonts w:ascii="Times New Roman" w:hAnsi="Times New Roman" w:cs="Times New Roman"/>
                <w:sz w:val="18"/>
              </w:rPr>
              <w:t>125,6</w:t>
            </w:r>
          </w:p>
        </w:tc>
        <w:tc>
          <w:tcPr>
            <w:tcW w:w="500" w:type="pct"/>
            <w:vAlign w:val="bottom"/>
          </w:tcPr>
          <w:p w:rsidR="00C178E7" w:rsidRDefault="00066267">
            <w:pPr>
              <w:spacing w:after="0" w:line="240" w:lineRule="auto"/>
              <w:jc w:val="right"/>
            </w:pPr>
            <w:r>
              <w:rPr>
                <w:rFonts w:ascii="Times New Roman" w:hAnsi="Times New Roman" w:cs="Times New Roman"/>
                <w:sz w:val="18"/>
              </w:rPr>
              <w:t>45,9</w:t>
            </w:r>
          </w:p>
        </w:tc>
      </w:tr>
      <w:tr w:rsidR="00C178E7">
        <w:tc>
          <w:tcPr>
            <w:tcW w:w="1400" w:type="pct"/>
            <w:vAlign w:val="bottom"/>
          </w:tcPr>
          <w:p w:rsidR="00C178E7" w:rsidRDefault="00066267">
            <w:pPr>
              <w:spacing w:after="0" w:line="240" w:lineRule="auto"/>
            </w:pPr>
            <w:r>
              <w:rPr>
                <w:rFonts w:ascii="Times New Roman" w:hAnsi="Times New Roman" w:cs="Times New Roman"/>
                <w:sz w:val="18"/>
              </w:rPr>
              <w:t>4 RASHODI ZA NABAVU NEFINANCIJSKE IMOVINE</w:t>
            </w:r>
          </w:p>
        </w:tc>
        <w:tc>
          <w:tcPr>
            <w:tcW w:w="800" w:type="pct"/>
            <w:vAlign w:val="bottom"/>
          </w:tcPr>
          <w:p w:rsidR="00C178E7" w:rsidRDefault="00066267">
            <w:pPr>
              <w:spacing w:after="0" w:line="240" w:lineRule="auto"/>
              <w:jc w:val="right"/>
            </w:pPr>
            <w:r>
              <w:rPr>
                <w:rFonts w:ascii="Times New Roman" w:hAnsi="Times New Roman" w:cs="Times New Roman"/>
                <w:sz w:val="18"/>
              </w:rPr>
              <w:t>2.131.055</w:t>
            </w:r>
          </w:p>
        </w:tc>
        <w:tc>
          <w:tcPr>
            <w:tcW w:w="800" w:type="pct"/>
            <w:vAlign w:val="bottom"/>
          </w:tcPr>
          <w:p w:rsidR="00C178E7" w:rsidRDefault="00066267">
            <w:pPr>
              <w:spacing w:after="0" w:line="240" w:lineRule="auto"/>
              <w:jc w:val="right"/>
            </w:pPr>
            <w:r>
              <w:rPr>
                <w:rFonts w:ascii="Times New Roman" w:hAnsi="Times New Roman" w:cs="Times New Roman"/>
                <w:sz w:val="18"/>
              </w:rPr>
              <w:t>76.273.328</w:t>
            </w:r>
          </w:p>
        </w:tc>
        <w:tc>
          <w:tcPr>
            <w:tcW w:w="800" w:type="pct"/>
            <w:vAlign w:val="bottom"/>
          </w:tcPr>
          <w:p w:rsidR="00C178E7" w:rsidRDefault="00066267">
            <w:pPr>
              <w:spacing w:after="0" w:line="240" w:lineRule="auto"/>
              <w:jc w:val="right"/>
            </w:pPr>
            <w:r>
              <w:rPr>
                <w:rFonts w:ascii="Times New Roman" w:hAnsi="Times New Roman" w:cs="Times New Roman"/>
                <w:sz w:val="18"/>
              </w:rPr>
              <w:t>10.858.117</w:t>
            </w:r>
          </w:p>
        </w:tc>
        <w:tc>
          <w:tcPr>
            <w:tcW w:w="500" w:type="pct"/>
            <w:vAlign w:val="bottom"/>
          </w:tcPr>
          <w:p w:rsidR="00C178E7" w:rsidRDefault="00066267">
            <w:pPr>
              <w:spacing w:after="0" w:line="240" w:lineRule="auto"/>
              <w:jc w:val="right"/>
            </w:pPr>
            <w:r>
              <w:rPr>
                <w:rFonts w:ascii="Times New Roman" w:hAnsi="Times New Roman" w:cs="Times New Roman"/>
                <w:sz w:val="18"/>
              </w:rPr>
              <w:t>509,5</w:t>
            </w:r>
          </w:p>
        </w:tc>
        <w:tc>
          <w:tcPr>
            <w:tcW w:w="500" w:type="pct"/>
            <w:vAlign w:val="bottom"/>
          </w:tcPr>
          <w:p w:rsidR="00C178E7" w:rsidRDefault="00066267">
            <w:pPr>
              <w:spacing w:after="0" w:line="240" w:lineRule="auto"/>
              <w:jc w:val="right"/>
            </w:pPr>
            <w:r>
              <w:rPr>
                <w:rFonts w:ascii="Times New Roman" w:hAnsi="Times New Roman" w:cs="Times New Roman"/>
                <w:sz w:val="18"/>
              </w:rPr>
              <w:t>14,2</w:t>
            </w:r>
          </w:p>
        </w:tc>
      </w:tr>
      <w:tr w:rsidR="00C178E7">
        <w:tc>
          <w:tcPr>
            <w:tcW w:w="1400" w:type="pct"/>
            <w:vAlign w:val="bottom"/>
          </w:tcPr>
          <w:p w:rsidR="00C178E7" w:rsidRDefault="00066267">
            <w:pPr>
              <w:spacing w:after="0" w:line="240" w:lineRule="auto"/>
            </w:pPr>
            <w:r>
              <w:rPr>
                <w:rFonts w:ascii="Times New Roman" w:hAnsi="Times New Roman" w:cs="Times New Roman"/>
                <w:b/>
                <w:sz w:val="18"/>
              </w:rPr>
              <w:t>UKUPNI RASHODI</w:t>
            </w:r>
          </w:p>
        </w:tc>
        <w:tc>
          <w:tcPr>
            <w:tcW w:w="800" w:type="pct"/>
            <w:vAlign w:val="bottom"/>
          </w:tcPr>
          <w:p w:rsidR="00C178E7" w:rsidRDefault="00066267">
            <w:pPr>
              <w:spacing w:after="0" w:line="240" w:lineRule="auto"/>
              <w:jc w:val="right"/>
            </w:pPr>
            <w:r>
              <w:rPr>
                <w:rFonts w:ascii="Times New Roman" w:hAnsi="Times New Roman" w:cs="Times New Roman"/>
                <w:b/>
                <w:sz w:val="18"/>
              </w:rPr>
              <w:t>50.053.030</w:t>
            </w:r>
          </w:p>
        </w:tc>
        <w:tc>
          <w:tcPr>
            <w:tcW w:w="800" w:type="pct"/>
            <w:vAlign w:val="bottom"/>
          </w:tcPr>
          <w:p w:rsidR="00C178E7" w:rsidRDefault="00066267">
            <w:pPr>
              <w:spacing w:after="0" w:line="240" w:lineRule="auto"/>
              <w:jc w:val="right"/>
            </w:pPr>
            <w:r>
              <w:rPr>
                <w:rFonts w:ascii="Times New Roman" w:hAnsi="Times New Roman" w:cs="Times New Roman"/>
                <w:b/>
                <w:sz w:val="18"/>
              </w:rPr>
              <w:t>207.521.343</w:t>
            </w:r>
          </w:p>
        </w:tc>
        <w:tc>
          <w:tcPr>
            <w:tcW w:w="800" w:type="pct"/>
            <w:vAlign w:val="bottom"/>
          </w:tcPr>
          <w:p w:rsidR="00C178E7" w:rsidRDefault="00066267">
            <w:pPr>
              <w:spacing w:after="0" w:line="240" w:lineRule="auto"/>
              <w:jc w:val="right"/>
            </w:pPr>
            <w:r>
              <w:rPr>
                <w:rFonts w:ascii="Times New Roman" w:hAnsi="Times New Roman" w:cs="Times New Roman"/>
                <w:b/>
                <w:sz w:val="18"/>
              </w:rPr>
              <w:t>71.060.546</w:t>
            </w:r>
          </w:p>
        </w:tc>
        <w:tc>
          <w:tcPr>
            <w:tcW w:w="500" w:type="pct"/>
            <w:vAlign w:val="bottom"/>
          </w:tcPr>
          <w:p w:rsidR="00C178E7" w:rsidRDefault="00066267">
            <w:pPr>
              <w:spacing w:after="0" w:line="240" w:lineRule="auto"/>
              <w:jc w:val="right"/>
            </w:pPr>
            <w:r>
              <w:rPr>
                <w:rFonts w:ascii="Times New Roman" w:hAnsi="Times New Roman" w:cs="Times New Roman"/>
                <w:b/>
                <w:sz w:val="18"/>
              </w:rPr>
              <w:t>142,0</w:t>
            </w:r>
          </w:p>
        </w:tc>
        <w:tc>
          <w:tcPr>
            <w:tcW w:w="500" w:type="pct"/>
            <w:vAlign w:val="bottom"/>
          </w:tcPr>
          <w:p w:rsidR="00C178E7" w:rsidRDefault="00066267">
            <w:pPr>
              <w:spacing w:after="0" w:line="240" w:lineRule="auto"/>
              <w:jc w:val="right"/>
            </w:pPr>
            <w:r>
              <w:rPr>
                <w:rFonts w:ascii="Times New Roman" w:hAnsi="Times New Roman" w:cs="Times New Roman"/>
                <w:b/>
                <w:sz w:val="18"/>
              </w:rPr>
              <w:t>34,2</w:t>
            </w:r>
          </w:p>
        </w:tc>
      </w:tr>
    </w:tbl>
    <w:p w:rsidR="00C178E7" w:rsidRDefault="00C178E7">
      <w:pPr>
        <w:spacing w:after="0" w:line="240" w:lineRule="auto"/>
      </w:pPr>
    </w:p>
    <w:p w:rsidR="00C178E7" w:rsidRDefault="00066267">
      <w:pPr>
        <w:spacing w:line="240" w:lineRule="auto"/>
        <w:jc w:val="both"/>
      </w:pPr>
      <w:r>
        <w:rPr>
          <w:rFonts w:ascii="Times New Roman" w:hAnsi="Times New Roman" w:cs="Times New Roman"/>
          <w:sz w:val="24"/>
        </w:rPr>
        <w:t>Ukupni rashodi u prvom polugodištu 2025. ostvareni su u iznosu od 71.060.546 eura te čine 34,2% godišnjeg plana, a za 42,0% su veći u odnosu na isto razdoblje 2024. godine.</w:t>
      </w:r>
    </w:p>
    <w:p w:rsidR="00C178E7" w:rsidRDefault="00066267">
      <w:pPr>
        <w:spacing w:line="240" w:lineRule="auto"/>
        <w:jc w:val="both"/>
      </w:pPr>
      <w:r>
        <w:rPr>
          <w:rFonts w:ascii="Times New Roman" w:hAnsi="Times New Roman" w:cs="Times New Roman"/>
          <w:sz w:val="24"/>
        </w:rPr>
        <w:t xml:space="preserve">Rashodi poslovanja iznose 60.202.429 eura i čine 45,9% plana te su za 25,6% veći u odnosu na isto razdoblje 2024. godine. </w:t>
      </w:r>
    </w:p>
    <w:p w:rsidR="00C178E7" w:rsidRDefault="00066267">
      <w:pPr>
        <w:spacing w:line="240" w:lineRule="auto"/>
        <w:jc w:val="both"/>
      </w:pPr>
      <w:r>
        <w:rPr>
          <w:rFonts w:ascii="Times New Roman" w:hAnsi="Times New Roman" w:cs="Times New Roman"/>
          <w:color w:val="000000"/>
          <w:sz w:val="24"/>
        </w:rPr>
        <w:t>Rashodi za zaposlene ostvareni su u iznosu od 26.730.409 eura te su za 25,41% veći u odnosu na isto razdoblje 2024. godine, što je rezultat sklapanja novog kolektivnog ugovora te povećanja cijene sata rada. Čine ih bruto plaće u iznosu od 19.954.814 eura, doprinosi za mirovinsko i zdravstveno osiguranje u iznosu od 4.028.418 eura i ostali rashodi za zaposlene u iznosu od 2.747.177 eura.</w:t>
      </w:r>
    </w:p>
    <w:p w:rsidR="00C178E7" w:rsidRDefault="00066267">
      <w:pPr>
        <w:spacing w:line="240" w:lineRule="auto"/>
        <w:jc w:val="both"/>
      </w:pPr>
      <w:r>
        <w:rPr>
          <w:rFonts w:ascii="Times New Roman" w:hAnsi="Times New Roman" w:cs="Times New Roman"/>
          <w:color w:val="000000"/>
          <w:sz w:val="24"/>
        </w:rPr>
        <w:t>Materijalni rashodi ostvareni su u iznosu od 31.595.696 eura i odnose se na naknade troškova zaposlenima u iznosu od 823.517 eura, rashode za materijal i energiju u iznosu od 7.664.034 eura, rashode za usluge u iznosu od 22.641.177 eura, naknade troškova osobama izvan radnog odnosa u iznosu od 64.787 eura i ostale nespomenute rashode poslovanja u iznosu od 402.182 eura. U odnosu na isto razdoblje prošle godine materijalni rashodi veći su za 27,97% ponajviše zbog većih troškova tekućeg održavanja voznog parka uslijed povećanja cijena te povećanja broja vozila koja zbog starosti ulaze u ciklus popravaka najviše razine.</w:t>
      </w:r>
    </w:p>
    <w:p w:rsidR="00C178E7" w:rsidRDefault="00066267">
      <w:pPr>
        <w:spacing w:line="240" w:lineRule="auto"/>
        <w:jc w:val="both"/>
      </w:pPr>
      <w:r>
        <w:rPr>
          <w:rFonts w:ascii="Times New Roman" w:hAnsi="Times New Roman" w:cs="Times New Roman"/>
          <w:sz w:val="24"/>
        </w:rPr>
        <w:lastRenderedPageBreak/>
        <w:t xml:space="preserve">Ostvareni financijski rashodi iznose 966.729 eura, a odnose se na kamate za primljene kredite i zajmove u iznosu od 888.655 eura i ostale financijske rashode u iznosu od 78.074 eura. </w:t>
      </w:r>
    </w:p>
    <w:p w:rsidR="00C178E7" w:rsidRDefault="00066267">
      <w:pPr>
        <w:spacing w:line="240" w:lineRule="auto"/>
        <w:jc w:val="both"/>
      </w:pPr>
      <w:r>
        <w:rPr>
          <w:rFonts w:ascii="Times New Roman" w:hAnsi="Times New Roman" w:cs="Times New Roman"/>
          <w:sz w:val="24"/>
        </w:rPr>
        <w:t>Ostali rashodi ostvareni su u iznosu od 909.595 eura, od čega se najveći dio odnosi na naknade šteta pravnim i fizičkim osobama.</w:t>
      </w:r>
    </w:p>
    <w:p w:rsidR="00C178E7" w:rsidRDefault="00066267">
      <w:pPr>
        <w:spacing w:line="240" w:lineRule="auto"/>
        <w:jc w:val="both"/>
      </w:pPr>
      <w:r>
        <w:rPr>
          <w:rFonts w:ascii="Times New Roman" w:hAnsi="Times New Roman" w:cs="Times New Roman"/>
          <w:sz w:val="24"/>
        </w:rPr>
        <w:t>Rashodi za nabavu nefinancijske imovine iznose 10.858.117 eura, a čine ih:</w:t>
      </w:r>
    </w:p>
    <w:p w:rsidR="00C178E7" w:rsidRDefault="00066267">
      <w:pPr>
        <w:spacing w:line="240" w:lineRule="auto"/>
        <w:ind w:left="1080" w:hanging="360"/>
        <w:jc w:val="both"/>
      </w:pPr>
      <w:r>
        <w:rPr>
          <w:rFonts w:ascii="Times New Roman" w:hAnsi="Times New Roman" w:cs="Times New Roman"/>
          <w:sz w:val="24"/>
        </w:rPr>
        <w:t>-    rashodi za nabavu proizvedene dugotrajne imovine u iznosu od 9.730.603 eura, od čega se 9.159.140 eura odnosi na prijevozna sredstva u željezničkom prometu, 569.963 eura na ulaganja u računalne programe i 1.500 eura na ostalu nematerijalnu proizvedenu imovinu</w:t>
      </w:r>
    </w:p>
    <w:p w:rsidR="00C178E7" w:rsidRDefault="00066267">
      <w:pPr>
        <w:spacing w:line="240" w:lineRule="auto"/>
        <w:ind w:left="1080" w:hanging="360"/>
        <w:jc w:val="both"/>
      </w:pPr>
      <w:r>
        <w:rPr>
          <w:rFonts w:ascii="Times New Roman" w:hAnsi="Times New Roman" w:cs="Times New Roman"/>
          <w:sz w:val="24"/>
        </w:rPr>
        <w:t>-    rashodi za dodatna ulaganja na nefinancijskoj imovini u iznosu od 1.127.514 eura, od čega se 1.118.654 eura odnosi na ulaganja u prijevozna sredstva, dok se 8.860 eura odnosi na dodatna ulaganja za ostalu nefinancijsku imovinu</w:t>
      </w:r>
    </w:p>
    <w:p w:rsidR="00C178E7" w:rsidRDefault="00066267">
      <w:pPr>
        <w:spacing w:line="360" w:lineRule="auto"/>
      </w:pPr>
      <w:r>
        <w:rPr>
          <w:rFonts w:ascii="Times New Roman" w:hAnsi="Times New Roman" w:cs="Times New Roman"/>
          <w:b/>
          <w:sz w:val="24"/>
          <w:u w:val="single"/>
        </w:rPr>
        <w:br/>
        <w:t>RAČUN FINANCIRANJA</w:t>
      </w:r>
    </w:p>
    <w:p w:rsidR="00C178E7" w:rsidRDefault="00066267">
      <w:pPr>
        <w:spacing w:line="360" w:lineRule="auto"/>
      </w:pPr>
      <w:r>
        <w:rPr>
          <w:rFonts w:ascii="Times New Roman" w:hAnsi="Times New Roman" w:cs="Times New Roman"/>
          <w:b/>
          <w:sz w:val="24"/>
          <w:u w:val="single"/>
        </w:rPr>
        <w:t>Račun prihoda i rashoda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4658"/>
        <w:gridCol w:w="1864"/>
        <w:gridCol w:w="1864"/>
        <w:gridCol w:w="932"/>
      </w:tblGrid>
      <w:tr w:rsidR="00C178E7">
        <w:tc>
          <w:tcPr>
            <w:tcW w:w="2500" w:type="pct"/>
            <w:shd w:val="clear" w:color="auto" w:fill="BCDFFB"/>
            <w:vAlign w:val="center"/>
          </w:tcPr>
          <w:p w:rsidR="00C178E7" w:rsidRDefault="00066267">
            <w:pPr>
              <w:spacing w:after="0" w:line="240" w:lineRule="auto"/>
              <w:jc w:val="center"/>
            </w:pPr>
            <w:r>
              <w:rPr>
                <w:rFonts w:ascii="Times New Roman" w:hAnsi="Times New Roman" w:cs="Times New Roman"/>
                <w:b/>
                <w:sz w:val="18"/>
              </w:rPr>
              <w:t>BROJČANA OZNAKA I NAZIV</w:t>
            </w:r>
          </w:p>
        </w:tc>
        <w:tc>
          <w:tcPr>
            <w:tcW w:w="1000" w:type="pct"/>
            <w:shd w:val="clear" w:color="auto" w:fill="BCDFFB"/>
            <w:vAlign w:val="center"/>
          </w:tcPr>
          <w:p w:rsidR="00C178E7" w:rsidRDefault="00066267">
            <w:pPr>
              <w:spacing w:after="0" w:line="240" w:lineRule="auto"/>
              <w:jc w:val="center"/>
            </w:pPr>
            <w:r>
              <w:rPr>
                <w:rFonts w:ascii="Times New Roman" w:hAnsi="Times New Roman" w:cs="Times New Roman"/>
                <w:b/>
                <w:sz w:val="18"/>
              </w:rPr>
              <w:t>PLAN</w:t>
            </w:r>
            <w:r>
              <w:rPr>
                <w:rFonts w:ascii="Times New Roman" w:hAnsi="Times New Roman" w:cs="Times New Roman"/>
                <w:b/>
                <w:sz w:val="18"/>
              </w:rPr>
              <w:br/>
              <w:t>2025.</w:t>
            </w:r>
          </w:p>
        </w:tc>
        <w:tc>
          <w:tcPr>
            <w:tcW w:w="1000" w:type="pct"/>
            <w:shd w:val="clear" w:color="auto" w:fill="BCDFFB"/>
            <w:vAlign w:val="center"/>
          </w:tcPr>
          <w:p w:rsidR="00C178E7" w:rsidRDefault="00066267">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IZVRŠENJE 1.-6. 2025.</w:t>
            </w:r>
          </w:p>
        </w:tc>
        <w:tc>
          <w:tcPr>
            <w:tcW w:w="800" w:type="pct"/>
            <w:shd w:val="clear" w:color="auto" w:fill="BCDFFB"/>
            <w:vAlign w:val="center"/>
          </w:tcPr>
          <w:p w:rsidR="00C178E7" w:rsidRDefault="00066267">
            <w:pPr>
              <w:spacing w:after="0" w:line="240" w:lineRule="auto"/>
              <w:jc w:val="center"/>
            </w:pPr>
            <w:r>
              <w:rPr>
                <w:rFonts w:ascii="Times New Roman" w:hAnsi="Times New Roman" w:cs="Times New Roman"/>
                <w:b/>
                <w:sz w:val="18"/>
              </w:rPr>
              <w:t>INDEKS</w:t>
            </w:r>
          </w:p>
        </w:tc>
      </w:tr>
      <w:tr w:rsidR="00C178E7">
        <w:tc>
          <w:tcPr>
            <w:tcW w:w="2500" w:type="pct"/>
            <w:shd w:val="clear" w:color="auto" w:fill="BCDFFB"/>
            <w:vAlign w:val="center"/>
          </w:tcPr>
          <w:p w:rsidR="00C178E7" w:rsidRDefault="00066267">
            <w:pPr>
              <w:spacing w:after="0" w:line="240" w:lineRule="auto"/>
              <w:jc w:val="center"/>
            </w:pPr>
            <w:r>
              <w:rPr>
                <w:rFonts w:ascii="Times New Roman" w:hAnsi="Times New Roman" w:cs="Times New Roman"/>
                <w:sz w:val="14"/>
              </w:rPr>
              <w:t>1</w:t>
            </w:r>
          </w:p>
        </w:tc>
        <w:tc>
          <w:tcPr>
            <w:tcW w:w="1000" w:type="pct"/>
            <w:shd w:val="clear" w:color="auto" w:fill="BCDFFB"/>
            <w:vAlign w:val="center"/>
          </w:tcPr>
          <w:p w:rsidR="00C178E7" w:rsidRDefault="00066267">
            <w:pPr>
              <w:spacing w:after="0" w:line="240" w:lineRule="auto"/>
              <w:jc w:val="center"/>
            </w:pPr>
            <w:r>
              <w:rPr>
                <w:rFonts w:ascii="Times New Roman" w:hAnsi="Times New Roman" w:cs="Times New Roman"/>
                <w:sz w:val="14"/>
              </w:rPr>
              <w:t>2</w:t>
            </w:r>
          </w:p>
        </w:tc>
        <w:tc>
          <w:tcPr>
            <w:tcW w:w="1000" w:type="pct"/>
            <w:shd w:val="clear" w:color="auto" w:fill="BCDFFB"/>
            <w:vAlign w:val="center"/>
          </w:tcPr>
          <w:p w:rsidR="00C178E7" w:rsidRDefault="00066267">
            <w:pPr>
              <w:spacing w:after="0" w:line="240" w:lineRule="auto"/>
              <w:jc w:val="center"/>
            </w:pPr>
            <w:r>
              <w:rPr>
                <w:rFonts w:ascii="Times New Roman" w:hAnsi="Times New Roman" w:cs="Times New Roman"/>
                <w:sz w:val="14"/>
              </w:rPr>
              <w:t>3</w:t>
            </w:r>
          </w:p>
        </w:tc>
        <w:tc>
          <w:tcPr>
            <w:tcW w:w="800" w:type="pct"/>
            <w:shd w:val="clear" w:color="auto" w:fill="BCDFFB"/>
            <w:vAlign w:val="center"/>
          </w:tcPr>
          <w:p w:rsidR="00C178E7" w:rsidRDefault="00066267">
            <w:pPr>
              <w:spacing w:after="0" w:line="240" w:lineRule="auto"/>
              <w:jc w:val="center"/>
            </w:pPr>
            <w:r>
              <w:rPr>
                <w:rFonts w:ascii="Times New Roman" w:hAnsi="Times New Roman" w:cs="Times New Roman"/>
                <w:sz w:val="14"/>
              </w:rPr>
              <w:t>4=3/2</w:t>
            </w:r>
          </w:p>
        </w:tc>
      </w:tr>
      <w:tr w:rsidR="00C178E7">
        <w:tc>
          <w:tcPr>
            <w:tcW w:w="2500" w:type="pct"/>
            <w:vAlign w:val="center"/>
          </w:tcPr>
          <w:p w:rsidR="00C178E7" w:rsidRDefault="00066267">
            <w:pPr>
              <w:spacing w:after="0" w:line="240" w:lineRule="auto"/>
            </w:pPr>
            <w:r>
              <w:rPr>
                <w:rFonts w:ascii="Times New Roman" w:hAnsi="Times New Roman" w:cs="Times New Roman"/>
                <w:sz w:val="18"/>
              </w:rPr>
              <w:t>UKUPNI PRIHODI</w:t>
            </w:r>
          </w:p>
        </w:tc>
        <w:tc>
          <w:tcPr>
            <w:tcW w:w="1000" w:type="pct"/>
            <w:vAlign w:val="bottom"/>
          </w:tcPr>
          <w:p w:rsidR="00C178E7" w:rsidRDefault="00066267">
            <w:pPr>
              <w:spacing w:after="0" w:line="240" w:lineRule="auto"/>
              <w:jc w:val="right"/>
            </w:pPr>
            <w:r>
              <w:rPr>
                <w:rFonts w:ascii="Times New Roman" w:hAnsi="Times New Roman" w:cs="Times New Roman"/>
                <w:sz w:val="18"/>
              </w:rPr>
              <w:t>187.380.999</w:t>
            </w:r>
          </w:p>
        </w:tc>
        <w:tc>
          <w:tcPr>
            <w:tcW w:w="1000" w:type="pct"/>
            <w:vAlign w:val="bottom"/>
          </w:tcPr>
          <w:p w:rsidR="00C178E7" w:rsidRDefault="00066267">
            <w:pPr>
              <w:spacing w:after="0" w:line="240" w:lineRule="auto"/>
              <w:jc w:val="right"/>
            </w:pPr>
            <w:r>
              <w:rPr>
                <w:rFonts w:ascii="Times New Roman" w:hAnsi="Times New Roman" w:cs="Times New Roman"/>
                <w:sz w:val="18"/>
              </w:rPr>
              <w:t>69.387.334</w:t>
            </w:r>
          </w:p>
        </w:tc>
        <w:tc>
          <w:tcPr>
            <w:tcW w:w="800" w:type="pct"/>
            <w:vAlign w:val="bottom"/>
          </w:tcPr>
          <w:p w:rsidR="00C178E7" w:rsidRDefault="00066267">
            <w:pPr>
              <w:spacing w:after="0" w:line="240" w:lineRule="auto"/>
              <w:jc w:val="right"/>
            </w:pPr>
            <w:r>
              <w:rPr>
                <w:rFonts w:ascii="Times New Roman" w:hAnsi="Times New Roman" w:cs="Times New Roman"/>
                <w:sz w:val="18"/>
              </w:rPr>
              <w:t>37,0</w:t>
            </w:r>
          </w:p>
        </w:tc>
      </w:tr>
      <w:tr w:rsidR="00C178E7">
        <w:tc>
          <w:tcPr>
            <w:tcW w:w="2500" w:type="pct"/>
            <w:vAlign w:val="bottom"/>
          </w:tcPr>
          <w:p w:rsidR="00C178E7" w:rsidRDefault="00066267">
            <w:pPr>
              <w:spacing w:after="0" w:line="240" w:lineRule="auto"/>
            </w:pPr>
            <w:r>
              <w:rPr>
                <w:rFonts w:ascii="Times New Roman" w:hAnsi="Times New Roman" w:cs="Times New Roman"/>
                <w:sz w:val="18"/>
              </w:rPr>
              <w:t>UKUPNI RASHODI</w:t>
            </w:r>
          </w:p>
        </w:tc>
        <w:tc>
          <w:tcPr>
            <w:tcW w:w="1000" w:type="pct"/>
            <w:vAlign w:val="bottom"/>
          </w:tcPr>
          <w:p w:rsidR="00C178E7" w:rsidRDefault="00066267">
            <w:pPr>
              <w:spacing w:after="0" w:line="240" w:lineRule="auto"/>
              <w:jc w:val="right"/>
            </w:pPr>
            <w:r>
              <w:rPr>
                <w:rFonts w:ascii="Times New Roman" w:hAnsi="Times New Roman" w:cs="Times New Roman"/>
                <w:sz w:val="18"/>
              </w:rPr>
              <w:t>207.521.343</w:t>
            </w:r>
          </w:p>
        </w:tc>
        <w:tc>
          <w:tcPr>
            <w:tcW w:w="1000" w:type="pct"/>
            <w:vAlign w:val="bottom"/>
          </w:tcPr>
          <w:p w:rsidR="00C178E7" w:rsidRDefault="00066267">
            <w:pPr>
              <w:spacing w:after="0" w:line="240" w:lineRule="auto"/>
              <w:jc w:val="right"/>
            </w:pPr>
            <w:r>
              <w:rPr>
                <w:rFonts w:ascii="Times New Roman" w:hAnsi="Times New Roman" w:cs="Times New Roman"/>
                <w:sz w:val="18"/>
              </w:rPr>
              <w:t>71.060.546</w:t>
            </w:r>
          </w:p>
        </w:tc>
        <w:tc>
          <w:tcPr>
            <w:tcW w:w="800" w:type="pct"/>
            <w:vAlign w:val="bottom"/>
          </w:tcPr>
          <w:p w:rsidR="00C178E7" w:rsidRDefault="00066267">
            <w:pPr>
              <w:spacing w:after="0" w:line="240" w:lineRule="auto"/>
              <w:jc w:val="right"/>
            </w:pPr>
            <w:r>
              <w:rPr>
                <w:rFonts w:ascii="Times New Roman" w:hAnsi="Times New Roman" w:cs="Times New Roman"/>
                <w:sz w:val="18"/>
              </w:rPr>
              <w:t>34,2</w:t>
            </w:r>
          </w:p>
        </w:tc>
      </w:tr>
      <w:tr w:rsidR="00C178E7">
        <w:tc>
          <w:tcPr>
            <w:tcW w:w="2500" w:type="pct"/>
            <w:vAlign w:val="bottom"/>
          </w:tcPr>
          <w:p w:rsidR="00C178E7" w:rsidRDefault="00066267">
            <w:pPr>
              <w:spacing w:after="0" w:line="240" w:lineRule="auto"/>
            </w:pPr>
            <w:r>
              <w:rPr>
                <w:rFonts w:ascii="Times New Roman" w:hAnsi="Times New Roman" w:cs="Times New Roman"/>
                <w:b/>
                <w:sz w:val="18"/>
              </w:rPr>
              <w:t>RAZLIKA - VIŠAK/MANJAK</w:t>
            </w:r>
          </w:p>
        </w:tc>
        <w:tc>
          <w:tcPr>
            <w:tcW w:w="1000" w:type="pct"/>
            <w:vAlign w:val="bottom"/>
          </w:tcPr>
          <w:p w:rsidR="00C178E7" w:rsidRDefault="00066267">
            <w:pPr>
              <w:spacing w:after="0" w:line="240" w:lineRule="auto"/>
              <w:jc w:val="right"/>
            </w:pPr>
            <w:r>
              <w:rPr>
                <w:rFonts w:ascii="Times New Roman" w:hAnsi="Times New Roman" w:cs="Times New Roman"/>
                <w:b/>
                <w:sz w:val="18"/>
              </w:rPr>
              <w:t>-20.140.344</w:t>
            </w:r>
          </w:p>
        </w:tc>
        <w:tc>
          <w:tcPr>
            <w:tcW w:w="800" w:type="pct"/>
            <w:vAlign w:val="bottom"/>
          </w:tcPr>
          <w:p w:rsidR="00C178E7" w:rsidRDefault="00066267">
            <w:pPr>
              <w:spacing w:after="0" w:line="240" w:lineRule="auto"/>
              <w:jc w:val="right"/>
            </w:pPr>
            <w:r>
              <w:rPr>
                <w:rFonts w:ascii="Times New Roman" w:hAnsi="Times New Roman" w:cs="Times New Roman"/>
                <w:b/>
                <w:sz w:val="18"/>
              </w:rPr>
              <w:t>-1.673.212</w:t>
            </w:r>
          </w:p>
        </w:tc>
        <w:tc>
          <w:tcPr>
            <w:tcW w:w="800" w:type="pct"/>
            <w:vAlign w:val="bottom"/>
          </w:tcPr>
          <w:p w:rsidR="00C178E7" w:rsidRDefault="00066267">
            <w:pPr>
              <w:spacing w:after="0" w:line="240" w:lineRule="auto"/>
              <w:jc w:val="right"/>
            </w:pPr>
            <w:r>
              <w:rPr>
                <w:rFonts w:ascii="Times New Roman" w:hAnsi="Times New Roman" w:cs="Times New Roman"/>
                <w:b/>
                <w:sz w:val="18"/>
              </w:rPr>
              <w:t>8,3</w:t>
            </w:r>
          </w:p>
        </w:tc>
      </w:tr>
    </w:tbl>
    <w:p w:rsidR="00C178E7" w:rsidRDefault="00C178E7">
      <w:pPr>
        <w:spacing w:after="0" w:line="240" w:lineRule="auto"/>
      </w:pPr>
    </w:p>
    <w:p w:rsidR="00C178E7" w:rsidRDefault="00066267">
      <w:pPr>
        <w:spacing w:line="360" w:lineRule="auto"/>
      </w:pPr>
      <w:r>
        <w:rPr>
          <w:rFonts w:ascii="Times New Roman" w:hAnsi="Times New Roman" w:cs="Times New Roman"/>
          <w:b/>
          <w:sz w:val="24"/>
          <w:u w:val="single"/>
        </w:rPr>
        <w:t>Račun financiranja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4658"/>
        <w:gridCol w:w="1864"/>
        <w:gridCol w:w="1864"/>
        <w:gridCol w:w="932"/>
      </w:tblGrid>
      <w:tr w:rsidR="00C178E7">
        <w:tc>
          <w:tcPr>
            <w:tcW w:w="2500" w:type="pct"/>
            <w:shd w:val="clear" w:color="auto" w:fill="BCDFFB"/>
            <w:vAlign w:val="center"/>
          </w:tcPr>
          <w:p w:rsidR="00C178E7" w:rsidRDefault="00066267">
            <w:pPr>
              <w:spacing w:after="0" w:line="240" w:lineRule="auto"/>
              <w:jc w:val="center"/>
            </w:pPr>
            <w:r>
              <w:rPr>
                <w:rFonts w:ascii="Times New Roman" w:hAnsi="Times New Roman" w:cs="Times New Roman"/>
                <w:b/>
                <w:sz w:val="18"/>
              </w:rPr>
              <w:t>BROJČANA OZNAKA I NAZIV</w:t>
            </w:r>
          </w:p>
        </w:tc>
        <w:tc>
          <w:tcPr>
            <w:tcW w:w="1000" w:type="pct"/>
            <w:shd w:val="clear" w:color="auto" w:fill="BCDFFB"/>
            <w:vAlign w:val="center"/>
          </w:tcPr>
          <w:p w:rsidR="00C178E7" w:rsidRDefault="00066267">
            <w:pPr>
              <w:spacing w:after="0" w:line="240" w:lineRule="auto"/>
              <w:jc w:val="center"/>
            </w:pPr>
            <w:r>
              <w:rPr>
                <w:rFonts w:ascii="Times New Roman" w:hAnsi="Times New Roman" w:cs="Times New Roman"/>
                <w:b/>
                <w:sz w:val="18"/>
              </w:rPr>
              <w:t>PLAN</w:t>
            </w:r>
            <w:r>
              <w:rPr>
                <w:rFonts w:ascii="Times New Roman" w:hAnsi="Times New Roman" w:cs="Times New Roman"/>
                <w:b/>
                <w:sz w:val="18"/>
              </w:rPr>
              <w:br/>
              <w:t>2025.</w:t>
            </w:r>
          </w:p>
        </w:tc>
        <w:tc>
          <w:tcPr>
            <w:tcW w:w="1000" w:type="pct"/>
            <w:shd w:val="clear" w:color="auto" w:fill="BCDFFB"/>
            <w:vAlign w:val="center"/>
          </w:tcPr>
          <w:p w:rsidR="00C178E7" w:rsidRDefault="00066267">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IZVRŠENJE 1.-6. 2025.</w:t>
            </w:r>
          </w:p>
        </w:tc>
        <w:tc>
          <w:tcPr>
            <w:tcW w:w="800" w:type="pct"/>
            <w:shd w:val="clear" w:color="auto" w:fill="BCDFFB"/>
            <w:vAlign w:val="center"/>
          </w:tcPr>
          <w:p w:rsidR="00C178E7" w:rsidRDefault="00066267">
            <w:pPr>
              <w:spacing w:after="0" w:line="240" w:lineRule="auto"/>
              <w:jc w:val="center"/>
            </w:pPr>
            <w:r>
              <w:rPr>
                <w:rFonts w:ascii="Times New Roman" w:hAnsi="Times New Roman" w:cs="Times New Roman"/>
                <w:b/>
                <w:sz w:val="18"/>
              </w:rPr>
              <w:t>INDEKS</w:t>
            </w:r>
          </w:p>
        </w:tc>
      </w:tr>
      <w:tr w:rsidR="00C178E7">
        <w:tc>
          <w:tcPr>
            <w:tcW w:w="2500" w:type="pct"/>
            <w:shd w:val="clear" w:color="auto" w:fill="BCDFFB"/>
            <w:vAlign w:val="center"/>
          </w:tcPr>
          <w:p w:rsidR="00C178E7" w:rsidRDefault="00066267">
            <w:pPr>
              <w:spacing w:after="0" w:line="240" w:lineRule="auto"/>
              <w:jc w:val="center"/>
            </w:pPr>
            <w:r>
              <w:rPr>
                <w:rFonts w:ascii="Times New Roman" w:hAnsi="Times New Roman" w:cs="Times New Roman"/>
                <w:sz w:val="14"/>
              </w:rPr>
              <w:t>1</w:t>
            </w:r>
          </w:p>
        </w:tc>
        <w:tc>
          <w:tcPr>
            <w:tcW w:w="1000" w:type="pct"/>
            <w:shd w:val="clear" w:color="auto" w:fill="BCDFFB"/>
            <w:vAlign w:val="center"/>
          </w:tcPr>
          <w:p w:rsidR="00C178E7" w:rsidRDefault="00066267">
            <w:pPr>
              <w:spacing w:after="0" w:line="240" w:lineRule="auto"/>
              <w:jc w:val="center"/>
            </w:pPr>
            <w:r>
              <w:rPr>
                <w:rFonts w:ascii="Times New Roman" w:hAnsi="Times New Roman" w:cs="Times New Roman"/>
                <w:sz w:val="14"/>
              </w:rPr>
              <w:t>2</w:t>
            </w:r>
          </w:p>
        </w:tc>
        <w:tc>
          <w:tcPr>
            <w:tcW w:w="1000" w:type="pct"/>
            <w:shd w:val="clear" w:color="auto" w:fill="BCDFFB"/>
            <w:vAlign w:val="center"/>
          </w:tcPr>
          <w:p w:rsidR="00C178E7" w:rsidRDefault="00066267">
            <w:pPr>
              <w:spacing w:after="0" w:line="240" w:lineRule="auto"/>
              <w:jc w:val="center"/>
            </w:pPr>
            <w:r>
              <w:rPr>
                <w:rFonts w:ascii="Times New Roman" w:hAnsi="Times New Roman" w:cs="Times New Roman"/>
                <w:sz w:val="14"/>
              </w:rPr>
              <w:t>3</w:t>
            </w:r>
          </w:p>
        </w:tc>
        <w:tc>
          <w:tcPr>
            <w:tcW w:w="800" w:type="pct"/>
            <w:shd w:val="clear" w:color="auto" w:fill="BCDFFB"/>
            <w:vAlign w:val="center"/>
          </w:tcPr>
          <w:p w:rsidR="00C178E7" w:rsidRDefault="00066267">
            <w:pPr>
              <w:spacing w:after="0" w:line="240" w:lineRule="auto"/>
              <w:jc w:val="center"/>
            </w:pPr>
            <w:r>
              <w:rPr>
                <w:rFonts w:ascii="Times New Roman" w:hAnsi="Times New Roman" w:cs="Times New Roman"/>
                <w:sz w:val="14"/>
              </w:rPr>
              <w:t>4=3/2</w:t>
            </w:r>
          </w:p>
        </w:tc>
      </w:tr>
      <w:tr w:rsidR="00C178E7">
        <w:tc>
          <w:tcPr>
            <w:tcW w:w="2500" w:type="pct"/>
            <w:vAlign w:val="center"/>
          </w:tcPr>
          <w:p w:rsidR="00C178E7" w:rsidRDefault="00066267">
            <w:pPr>
              <w:spacing w:after="0" w:line="240" w:lineRule="auto"/>
            </w:pPr>
            <w:r>
              <w:rPr>
                <w:rFonts w:ascii="Times New Roman" w:hAnsi="Times New Roman" w:cs="Times New Roman"/>
                <w:sz w:val="18"/>
              </w:rPr>
              <w:t>8 PRIMICI OD FINANCIJSKE IMOVINE I ZADUŽIVANJA</w:t>
            </w:r>
          </w:p>
        </w:tc>
        <w:tc>
          <w:tcPr>
            <w:tcW w:w="1000" w:type="pct"/>
            <w:vAlign w:val="bottom"/>
          </w:tcPr>
          <w:p w:rsidR="00C178E7" w:rsidRDefault="00066267">
            <w:pPr>
              <w:spacing w:after="0" w:line="240" w:lineRule="auto"/>
              <w:jc w:val="right"/>
            </w:pPr>
            <w:r>
              <w:rPr>
                <w:rFonts w:ascii="Times New Roman" w:hAnsi="Times New Roman" w:cs="Times New Roman"/>
                <w:sz w:val="18"/>
              </w:rPr>
              <w:t>27.170.016</w:t>
            </w:r>
          </w:p>
        </w:tc>
        <w:tc>
          <w:tcPr>
            <w:tcW w:w="1000" w:type="pct"/>
            <w:vAlign w:val="bottom"/>
          </w:tcPr>
          <w:p w:rsidR="00C178E7" w:rsidRDefault="00066267">
            <w:pPr>
              <w:spacing w:after="0" w:line="240" w:lineRule="auto"/>
              <w:jc w:val="right"/>
            </w:pPr>
            <w:r>
              <w:rPr>
                <w:rFonts w:ascii="Times New Roman" w:hAnsi="Times New Roman" w:cs="Times New Roman"/>
                <w:sz w:val="18"/>
              </w:rPr>
              <w:t>15.400.000</w:t>
            </w:r>
          </w:p>
        </w:tc>
        <w:tc>
          <w:tcPr>
            <w:tcW w:w="800" w:type="pct"/>
            <w:vAlign w:val="bottom"/>
          </w:tcPr>
          <w:p w:rsidR="00C178E7" w:rsidRDefault="00066267">
            <w:pPr>
              <w:spacing w:after="0" w:line="240" w:lineRule="auto"/>
              <w:jc w:val="right"/>
            </w:pPr>
            <w:r>
              <w:rPr>
                <w:rFonts w:ascii="Times New Roman" w:hAnsi="Times New Roman" w:cs="Times New Roman"/>
                <w:sz w:val="18"/>
              </w:rPr>
              <w:t>56,7</w:t>
            </w:r>
          </w:p>
        </w:tc>
      </w:tr>
      <w:tr w:rsidR="00C178E7">
        <w:tc>
          <w:tcPr>
            <w:tcW w:w="2500" w:type="pct"/>
            <w:vAlign w:val="bottom"/>
          </w:tcPr>
          <w:p w:rsidR="00C178E7" w:rsidRDefault="00066267">
            <w:pPr>
              <w:spacing w:after="0" w:line="240" w:lineRule="auto"/>
            </w:pPr>
            <w:r>
              <w:rPr>
                <w:rFonts w:ascii="Times New Roman" w:hAnsi="Times New Roman" w:cs="Times New Roman"/>
                <w:sz w:val="18"/>
              </w:rPr>
              <w:t>5 IZDACI ZA FINANCIJSKU IMOVINU I OTPLATE ZAJMOVA</w:t>
            </w:r>
          </w:p>
        </w:tc>
        <w:tc>
          <w:tcPr>
            <w:tcW w:w="1000" w:type="pct"/>
            <w:vAlign w:val="bottom"/>
          </w:tcPr>
          <w:p w:rsidR="00C178E7" w:rsidRDefault="00066267">
            <w:pPr>
              <w:spacing w:after="0" w:line="240" w:lineRule="auto"/>
              <w:jc w:val="right"/>
            </w:pPr>
            <w:r>
              <w:rPr>
                <w:rFonts w:ascii="Times New Roman" w:hAnsi="Times New Roman" w:cs="Times New Roman"/>
                <w:sz w:val="18"/>
              </w:rPr>
              <w:t>7.012.000</w:t>
            </w:r>
          </w:p>
        </w:tc>
        <w:tc>
          <w:tcPr>
            <w:tcW w:w="1000" w:type="pct"/>
            <w:vAlign w:val="bottom"/>
          </w:tcPr>
          <w:p w:rsidR="00C178E7" w:rsidRDefault="00066267">
            <w:pPr>
              <w:spacing w:after="0" w:line="240" w:lineRule="auto"/>
              <w:jc w:val="right"/>
            </w:pPr>
            <w:r>
              <w:rPr>
                <w:rFonts w:ascii="Times New Roman" w:hAnsi="Times New Roman" w:cs="Times New Roman"/>
                <w:sz w:val="18"/>
              </w:rPr>
              <w:t>3.504.746</w:t>
            </w:r>
          </w:p>
        </w:tc>
        <w:tc>
          <w:tcPr>
            <w:tcW w:w="800" w:type="pct"/>
            <w:vAlign w:val="bottom"/>
          </w:tcPr>
          <w:p w:rsidR="00C178E7" w:rsidRDefault="00066267">
            <w:pPr>
              <w:spacing w:after="0" w:line="240" w:lineRule="auto"/>
              <w:jc w:val="right"/>
            </w:pPr>
            <w:r>
              <w:rPr>
                <w:rFonts w:ascii="Times New Roman" w:hAnsi="Times New Roman" w:cs="Times New Roman"/>
                <w:sz w:val="18"/>
              </w:rPr>
              <w:t>50,0</w:t>
            </w:r>
          </w:p>
        </w:tc>
      </w:tr>
      <w:tr w:rsidR="00C178E7">
        <w:tc>
          <w:tcPr>
            <w:tcW w:w="2500" w:type="pct"/>
            <w:vAlign w:val="bottom"/>
          </w:tcPr>
          <w:p w:rsidR="00C178E7" w:rsidRDefault="00066267">
            <w:pPr>
              <w:spacing w:after="0" w:line="240" w:lineRule="auto"/>
            </w:pPr>
            <w:r>
              <w:rPr>
                <w:rFonts w:ascii="Times New Roman" w:hAnsi="Times New Roman" w:cs="Times New Roman"/>
                <w:b/>
                <w:sz w:val="18"/>
              </w:rPr>
              <w:t>RAZLIKA PRIMITAKA I IZDATAKA</w:t>
            </w:r>
          </w:p>
        </w:tc>
        <w:tc>
          <w:tcPr>
            <w:tcW w:w="1000" w:type="pct"/>
            <w:vAlign w:val="bottom"/>
          </w:tcPr>
          <w:p w:rsidR="00C178E7" w:rsidRDefault="00066267">
            <w:pPr>
              <w:spacing w:after="0" w:line="240" w:lineRule="auto"/>
              <w:jc w:val="right"/>
            </w:pPr>
            <w:r>
              <w:rPr>
                <w:rFonts w:ascii="Times New Roman" w:hAnsi="Times New Roman" w:cs="Times New Roman"/>
                <w:b/>
                <w:sz w:val="18"/>
              </w:rPr>
              <w:t>20.158.016</w:t>
            </w:r>
          </w:p>
        </w:tc>
        <w:tc>
          <w:tcPr>
            <w:tcW w:w="1000" w:type="pct"/>
            <w:vAlign w:val="bottom"/>
          </w:tcPr>
          <w:p w:rsidR="00C178E7" w:rsidRDefault="00066267">
            <w:pPr>
              <w:spacing w:after="0" w:line="240" w:lineRule="auto"/>
              <w:jc w:val="right"/>
            </w:pPr>
            <w:r>
              <w:rPr>
                <w:rFonts w:ascii="Times New Roman" w:hAnsi="Times New Roman" w:cs="Times New Roman"/>
                <w:b/>
                <w:sz w:val="18"/>
              </w:rPr>
              <w:t>11.895.254</w:t>
            </w:r>
          </w:p>
        </w:tc>
        <w:tc>
          <w:tcPr>
            <w:tcW w:w="800" w:type="pct"/>
            <w:vAlign w:val="bottom"/>
          </w:tcPr>
          <w:p w:rsidR="00C178E7" w:rsidRDefault="00066267">
            <w:pPr>
              <w:spacing w:after="0" w:line="240" w:lineRule="auto"/>
              <w:jc w:val="right"/>
            </w:pPr>
            <w:r>
              <w:rPr>
                <w:rFonts w:ascii="Times New Roman" w:hAnsi="Times New Roman" w:cs="Times New Roman"/>
                <w:b/>
                <w:sz w:val="18"/>
              </w:rPr>
              <w:t>59,0</w:t>
            </w:r>
          </w:p>
        </w:tc>
      </w:tr>
      <w:tr w:rsidR="00C178E7">
        <w:tc>
          <w:tcPr>
            <w:tcW w:w="2500" w:type="pct"/>
            <w:vAlign w:val="bottom"/>
          </w:tcPr>
          <w:p w:rsidR="00C178E7" w:rsidRDefault="00066267">
            <w:pPr>
              <w:spacing w:after="0" w:line="240" w:lineRule="auto"/>
            </w:pPr>
            <w:r>
              <w:rPr>
                <w:rFonts w:ascii="Times New Roman" w:hAnsi="Times New Roman" w:cs="Times New Roman"/>
                <w:sz w:val="18"/>
              </w:rPr>
              <w:t>PRIJENOS SREDSTAVA IZ PRETHODNE GODINE</w:t>
            </w:r>
          </w:p>
        </w:tc>
        <w:tc>
          <w:tcPr>
            <w:tcW w:w="1000" w:type="pct"/>
            <w:vAlign w:val="bottom"/>
          </w:tcPr>
          <w:p w:rsidR="00C178E7" w:rsidRDefault="00066267">
            <w:pPr>
              <w:spacing w:after="0" w:line="240" w:lineRule="auto"/>
              <w:jc w:val="right"/>
            </w:pPr>
            <w:r>
              <w:rPr>
                <w:rFonts w:ascii="Times New Roman" w:hAnsi="Times New Roman" w:cs="Times New Roman"/>
                <w:sz w:val="18"/>
              </w:rPr>
              <w:t>0</w:t>
            </w:r>
          </w:p>
        </w:tc>
        <w:tc>
          <w:tcPr>
            <w:tcW w:w="800" w:type="pct"/>
            <w:vAlign w:val="bottom"/>
          </w:tcPr>
          <w:p w:rsidR="00C178E7" w:rsidRDefault="00066267">
            <w:pPr>
              <w:spacing w:after="0" w:line="240" w:lineRule="auto"/>
              <w:jc w:val="right"/>
            </w:pPr>
            <w:r>
              <w:rPr>
                <w:rFonts w:ascii="Times New Roman" w:hAnsi="Times New Roman" w:cs="Times New Roman"/>
                <w:sz w:val="18"/>
              </w:rPr>
              <w:t>949.329</w:t>
            </w:r>
          </w:p>
        </w:tc>
        <w:tc>
          <w:tcPr>
            <w:tcW w:w="800" w:type="pct"/>
            <w:vAlign w:val="bottom"/>
          </w:tcPr>
          <w:p w:rsidR="00C178E7" w:rsidRDefault="00C178E7">
            <w:pPr>
              <w:spacing w:after="0" w:line="240" w:lineRule="auto"/>
              <w:jc w:val="right"/>
            </w:pPr>
          </w:p>
        </w:tc>
      </w:tr>
      <w:tr w:rsidR="00C178E7">
        <w:tc>
          <w:tcPr>
            <w:tcW w:w="2500" w:type="pct"/>
            <w:vAlign w:val="bottom"/>
          </w:tcPr>
          <w:p w:rsidR="00C178E7" w:rsidRDefault="00066267">
            <w:pPr>
              <w:spacing w:after="0" w:line="240" w:lineRule="auto"/>
            </w:pPr>
            <w:r>
              <w:rPr>
                <w:rFonts w:ascii="Times New Roman" w:hAnsi="Times New Roman" w:cs="Times New Roman"/>
                <w:sz w:val="18"/>
              </w:rPr>
              <w:t>PRIJENOS SREDSTAVA U SLJEDEĆE RAZDOBLJE</w:t>
            </w:r>
          </w:p>
        </w:tc>
        <w:tc>
          <w:tcPr>
            <w:tcW w:w="1000" w:type="pct"/>
            <w:vAlign w:val="bottom"/>
          </w:tcPr>
          <w:p w:rsidR="00C178E7" w:rsidRDefault="00066267">
            <w:pPr>
              <w:spacing w:after="0" w:line="240" w:lineRule="auto"/>
              <w:jc w:val="right"/>
            </w:pPr>
            <w:r>
              <w:rPr>
                <w:rFonts w:ascii="Times New Roman" w:hAnsi="Times New Roman" w:cs="Times New Roman"/>
                <w:sz w:val="18"/>
              </w:rPr>
              <w:t>-17.672</w:t>
            </w:r>
          </w:p>
        </w:tc>
        <w:tc>
          <w:tcPr>
            <w:tcW w:w="800" w:type="pct"/>
            <w:vAlign w:val="bottom"/>
          </w:tcPr>
          <w:p w:rsidR="00C178E7" w:rsidRDefault="00066267">
            <w:pPr>
              <w:spacing w:after="0" w:line="240" w:lineRule="auto"/>
              <w:jc w:val="right"/>
            </w:pPr>
            <w:r>
              <w:rPr>
                <w:rFonts w:ascii="Times New Roman" w:hAnsi="Times New Roman" w:cs="Times New Roman"/>
                <w:sz w:val="18"/>
              </w:rPr>
              <w:t>-11.171.371</w:t>
            </w:r>
          </w:p>
        </w:tc>
        <w:tc>
          <w:tcPr>
            <w:tcW w:w="800" w:type="pct"/>
            <w:vAlign w:val="bottom"/>
          </w:tcPr>
          <w:p w:rsidR="00C178E7" w:rsidRDefault="00066267">
            <w:pPr>
              <w:spacing w:after="0" w:line="240" w:lineRule="auto"/>
              <w:jc w:val="right"/>
            </w:pPr>
            <w:r>
              <w:rPr>
                <w:rFonts w:ascii="Times New Roman" w:hAnsi="Times New Roman" w:cs="Times New Roman"/>
                <w:sz w:val="18"/>
              </w:rPr>
              <w:t>63215,1</w:t>
            </w:r>
          </w:p>
        </w:tc>
      </w:tr>
      <w:tr w:rsidR="00C178E7">
        <w:tc>
          <w:tcPr>
            <w:tcW w:w="2500" w:type="pct"/>
            <w:vAlign w:val="bottom"/>
          </w:tcPr>
          <w:p w:rsidR="00C178E7" w:rsidRDefault="00066267">
            <w:pPr>
              <w:spacing w:after="0" w:line="240" w:lineRule="auto"/>
            </w:pPr>
            <w:r>
              <w:rPr>
                <w:rFonts w:ascii="Times New Roman" w:hAnsi="Times New Roman" w:cs="Times New Roman"/>
                <w:sz w:val="18"/>
              </w:rPr>
              <w:t>NETO FINANCIRANJE</w:t>
            </w:r>
          </w:p>
        </w:tc>
        <w:tc>
          <w:tcPr>
            <w:tcW w:w="1000" w:type="pct"/>
            <w:vAlign w:val="bottom"/>
          </w:tcPr>
          <w:p w:rsidR="00C178E7" w:rsidRDefault="00066267">
            <w:pPr>
              <w:spacing w:after="0" w:line="240" w:lineRule="auto"/>
              <w:jc w:val="right"/>
            </w:pPr>
            <w:r>
              <w:rPr>
                <w:rFonts w:ascii="Times New Roman" w:hAnsi="Times New Roman" w:cs="Times New Roman"/>
                <w:sz w:val="18"/>
              </w:rPr>
              <w:t>20.140.344</w:t>
            </w:r>
          </w:p>
        </w:tc>
        <w:tc>
          <w:tcPr>
            <w:tcW w:w="800" w:type="pct"/>
            <w:vAlign w:val="bottom"/>
          </w:tcPr>
          <w:p w:rsidR="00C178E7" w:rsidRDefault="00066267">
            <w:pPr>
              <w:spacing w:after="0" w:line="240" w:lineRule="auto"/>
              <w:jc w:val="right"/>
            </w:pPr>
            <w:r>
              <w:rPr>
                <w:rFonts w:ascii="Times New Roman" w:hAnsi="Times New Roman" w:cs="Times New Roman"/>
                <w:sz w:val="18"/>
              </w:rPr>
              <w:t>1.673.212</w:t>
            </w:r>
          </w:p>
        </w:tc>
        <w:tc>
          <w:tcPr>
            <w:tcW w:w="800" w:type="pct"/>
            <w:vAlign w:val="bottom"/>
          </w:tcPr>
          <w:p w:rsidR="00C178E7" w:rsidRDefault="00066267">
            <w:pPr>
              <w:spacing w:after="0" w:line="240" w:lineRule="auto"/>
              <w:jc w:val="right"/>
            </w:pPr>
            <w:r>
              <w:rPr>
                <w:rFonts w:ascii="Times New Roman" w:hAnsi="Times New Roman" w:cs="Times New Roman"/>
                <w:sz w:val="18"/>
              </w:rPr>
              <w:t>8,3</w:t>
            </w:r>
          </w:p>
        </w:tc>
      </w:tr>
      <w:tr w:rsidR="00C178E7">
        <w:tc>
          <w:tcPr>
            <w:tcW w:w="2500" w:type="pct"/>
            <w:vAlign w:val="bottom"/>
          </w:tcPr>
          <w:p w:rsidR="00C178E7" w:rsidRDefault="00066267">
            <w:pPr>
              <w:spacing w:after="0" w:line="240" w:lineRule="auto"/>
            </w:pPr>
            <w:r>
              <w:rPr>
                <w:rFonts w:ascii="Times New Roman" w:hAnsi="Times New Roman" w:cs="Times New Roman"/>
                <w:b/>
                <w:sz w:val="18"/>
              </w:rPr>
              <w:t>VIŠAK/MANJAK + NETO FINANCIRANJE</w:t>
            </w:r>
          </w:p>
        </w:tc>
        <w:tc>
          <w:tcPr>
            <w:tcW w:w="1000" w:type="pct"/>
            <w:vAlign w:val="bottom"/>
          </w:tcPr>
          <w:p w:rsidR="00C178E7" w:rsidRDefault="00066267">
            <w:pPr>
              <w:spacing w:after="0" w:line="240" w:lineRule="auto"/>
              <w:jc w:val="right"/>
            </w:pPr>
            <w:r>
              <w:rPr>
                <w:rFonts w:ascii="Times New Roman" w:hAnsi="Times New Roman" w:cs="Times New Roman"/>
                <w:b/>
                <w:sz w:val="18"/>
              </w:rPr>
              <w:t>0</w:t>
            </w:r>
          </w:p>
        </w:tc>
        <w:tc>
          <w:tcPr>
            <w:tcW w:w="800" w:type="pct"/>
            <w:vAlign w:val="bottom"/>
          </w:tcPr>
          <w:p w:rsidR="00C178E7" w:rsidRDefault="00066267">
            <w:pPr>
              <w:spacing w:after="0" w:line="240" w:lineRule="auto"/>
              <w:jc w:val="right"/>
            </w:pPr>
            <w:r>
              <w:rPr>
                <w:rFonts w:ascii="Times New Roman" w:hAnsi="Times New Roman" w:cs="Times New Roman"/>
                <w:b/>
                <w:sz w:val="18"/>
              </w:rPr>
              <w:t>0</w:t>
            </w:r>
          </w:p>
        </w:tc>
        <w:tc>
          <w:tcPr>
            <w:tcW w:w="800" w:type="pct"/>
            <w:vAlign w:val="bottom"/>
          </w:tcPr>
          <w:p w:rsidR="00C178E7" w:rsidRDefault="00C178E7">
            <w:pPr>
              <w:spacing w:after="0" w:line="240" w:lineRule="auto"/>
              <w:jc w:val="right"/>
            </w:pPr>
          </w:p>
        </w:tc>
      </w:tr>
    </w:tbl>
    <w:p w:rsidR="00C178E7" w:rsidRDefault="00C178E7">
      <w:pPr>
        <w:spacing w:after="0" w:line="240" w:lineRule="auto"/>
      </w:pPr>
    </w:p>
    <w:p w:rsidR="00C178E7" w:rsidRDefault="00066267">
      <w:pPr>
        <w:spacing w:line="240" w:lineRule="auto"/>
        <w:jc w:val="both"/>
      </w:pPr>
      <w:r>
        <w:rPr>
          <w:rFonts w:ascii="Times New Roman" w:hAnsi="Times New Roman" w:cs="Times New Roman"/>
          <w:sz w:val="24"/>
        </w:rPr>
        <w:t>Ostvareni prihodi i rashodi rezultirali su manjkom od 1.673.212 eura. Zbog nedostatka vlastitih sredstava u prethodnim godinama bilo je nužno angažiranje kreditnih sredstava za nabavu novih vlakova, što je rezultiralo povećanjem obveza za otplatu glavnice.</w:t>
      </w:r>
    </w:p>
    <w:p w:rsidR="00C178E7" w:rsidRDefault="00066267">
      <w:pPr>
        <w:spacing w:line="240" w:lineRule="auto"/>
        <w:jc w:val="both"/>
      </w:pPr>
      <w:r>
        <w:rPr>
          <w:rFonts w:ascii="Times New Roman" w:hAnsi="Times New Roman" w:cs="Times New Roman"/>
          <w:sz w:val="24"/>
        </w:rPr>
        <w:t>Izdaci za otplatu glavnice primljenih kredita i zajmova ( IBRD-a i HBOR-a) ostvareni su u iznosu od 3.504.746 eura.</w:t>
      </w:r>
    </w:p>
    <w:p w:rsidR="00C178E7" w:rsidRDefault="00066267">
      <w:pPr>
        <w:spacing w:line="240" w:lineRule="auto"/>
        <w:jc w:val="both"/>
      </w:pPr>
      <w:r>
        <w:rPr>
          <w:rFonts w:ascii="Times New Roman" w:hAnsi="Times New Roman" w:cs="Times New Roman"/>
          <w:sz w:val="24"/>
        </w:rPr>
        <w:lastRenderedPageBreak/>
        <w:t> </w:t>
      </w:r>
    </w:p>
    <w:p w:rsidR="00C178E7" w:rsidRDefault="00066267">
      <w:pPr>
        <w:spacing w:line="240" w:lineRule="auto"/>
        <w:jc w:val="both"/>
      </w:pPr>
      <w:r>
        <w:rPr>
          <w:rFonts w:ascii="Times New Roman" w:hAnsi="Times New Roman" w:cs="Times New Roman"/>
          <w:b/>
          <w:sz w:val="24"/>
          <w:u w:val="single"/>
        </w:rPr>
        <w:t>PRIJENOS SREDSTAVA</w:t>
      </w:r>
    </w:p>
    <w:p w:rsidR="00C178E7" w:rsidRDefault="00066267">
      <w:pPr>
        <w:spacing w:line="240" w:lineRule="auto"/>
        <w:jc w:val="both"/>
      </w:pPr>
      <w:r>
        <w:rPr>
          <w:rFonts w:ascii="Times New Roman" w:hAnsi="Times New Roman" w:cs="Times New Roman"/>
          <w:sz w:val="24"/>
        </w:rPr>
        <w:t>Prijenos sredstava iz prethodne godine iznosi 949.329 eura, a prijenos sredstava u sljedeće razdoblje iznosi 11.171.371 euro. Prijenosi sredstava odnose se na sredstva po računima za redovno poslovanje.</w:t>
      </w:r>
    </w:p>
    <w:p w:rsidR="00C178E7" w:rsidRDefault="00066267">
      <w:pPr>
        <w:spacing w:line="360" w:lineRule="auto"/>
        <w:jc w:val="center"/>
      </w:pPr>
      <w:r>
        <w:rPr>
          <w:rFonts w:ascii="Times New Roman" w:hAnsi="Times New Roman" w:cs="Times New Roman"/>
          <w:b/>
          <w:sz w:val="24"/>
        </w:rPr>
        <w:br/>
        <w:t>IZVJEŠTAJ O ZADUŽIVANJU NA DOMAĆEM I STRANOM TRŽIŠTU NOVCA I KAPITALA</w:t>
      </w:r>
    </w:p>
    <w:p w:rsidR="00C178E7" w:rsidRDefault="00066267">
      <w:pPr>
        <w:spacing w:line="240" w:lineRule="auto"/>
        <w:jc w:val="both"/>
      </w:pPr>
      <w:r>
        <w:rPr>
          <w:rFonts w:ascii="Times New Roman" w:hAnsi="Times New Roman" w:cs="Times New Roman"/>
          <w:sz w:val="24"/>
        </w:rPr>
        <w:t>U izvještajnom razdoblju nisu sklopljeni novi ugovori o zaduživanju na domaćem i stranom tržištu novca i kapitala.</w:t>
      </w:r>
    </w:p>
    <w:p w:rsidR="00C178E7" w:rsidRDefault="00066267">
      <w:pPr>
        <w:spacing w:line="360" w:lineRule="auto"/>
        <w:jc w:val="center"/>
      </w:pPr>
      <w:r>
        <w:rPr>
          <w:rFonts w:ascii="Times New Roman" w:hAnsi="Times New Roman" w:cs="Times New Roman"/>
          <w:b/>
          <w:sz w:val="24"/>
        </w:rPr>
        <w:br/>
        <w:t xml:space="preserve">IZVJEŠTAJ O DANIM JAMSTVIMA I PLAĆANJIMA PO PROTESTIRANIM JAMSTVIMA </w:t>
      </w:r>
    </w:p>
    <w:p w:rsidR="00C178E7" w:rsidRDefault="00066267">
      <w:pPr>
        <w:spacing w:line="240" w:lineRule="auto"/>
        <w:jc w:val="both"/>
      </w:pPr>
      <w:r>
        <w:rPr>
          <w:rFonts w:ascii="Times New Roman" w:hAnsi="Times New Roman" w:cs="Times New Roman"/>
          <w:sz w:val="24"/>
        </w:rPr>
        <w:t>HŽ Putnički prijevoz u izvještajnom razdoblju nije davao jamstva niti je imao izvršenih plaćanja po protestiranim jamstvima.</w:t>
      </w:r>
    </w:p>
    <w:sectPr w:rsidR="00C178E7" w:rsidSect="00066267">
      <w:headerReference w:type="even" r:id="rId6"/>
      <w:headerReference w:type="default" r:id="rId7"/>
      <w:footerReference w:type="even" r:id="rId8"/>
      <w:footerReference w:type="default" r:id="rId9"/>
      <w:headerReference w:type="first" r:id="rId10"/>
      <w:footerReference w:type="first" r:id="rId11"/>
      <w:pgSz w:w="12240" w:h="15840"/>
      <w:pgMar w:top="1417" w:right="1417" w:bottom="1417" w:left="1417" w:header="720" w:footer="720" w:gutter="0"/>
      <w:pgNumType w:start="9"/>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6267" w:rsidRDefault="00066267" w:rsidP="00066267">
      <w:pPr>
        <w:spacing w:after="0" w:line="240" w:lineRule="auto"/>
      </w:pPr>
      <w:r>
        <w:separator/>
      </w:r>
    </w:p>
  </w:endnote>
  <w:endnote w:type="continuationSeparator" w:id="0">
    <w:p w:rsidR="00066267" w:rsidRDefault="00066267" w:rsidP="00066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267" w:rsidRDefault="00066267">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4413706"/>
      <w:docPartObj>
        <w:docPartGallery w:val="Page Numbers (Bottom of Page)"/>
        <w:docPartUnique/>
      </w:docPartObj>
    </w:sdtPr>
    <w:sdtEndPr>
      <w:rPr>
        <w:rFonts w:ascii="Times New Roman" w:hAnsi="Times New Roman" w:cs="Times New Roman"/>
      </w:rPr>
    </w:sdtEndPr>
    <w:sdtContent>
      <w:p w:rsidR="00066267" w:rsidRPr="00066267" w:rsidRDefault="00066267">
        <w:pPr>
          <w:pStyle w:val="Podnoje"/>
          <w:jc w:val="center"/>
          <w:rPr>
            <w:rFonts w:ascii="Times New Roman" w:hAnsi="Times New Roman" w:cs="Times New Roman"/>
          </w:rPr>
        </w:pPr>
        <w:r w:rsidRPr="00066267">
          <w:rPr>
            <w:rFonts w:ascii="Times New Roman" w:hAnsi="Times New Roman" w:cs="Times New Roman"/>
          </w:rPr>
          <w:fldChar w:fldCharType="begin"/>
        </w:r>
        <w:r w:rsidRPr="00066267">
          <w:rPr>
            <w:rFonts w:ascii="Times New Roman" w:hAnsi="Times New Roman" w:cs="Times New Roman"/>
          </w:rPr>
          <w:instrText>PAGE   \* MERGEFORMAT</w:instrText>
        </w:r>
        <w:r w:rsidRPr="00066267">
          <w:rPr>
            <w:rFonts w:ascii="Times New Roman" w:hAnsi="Times New Roman" w:cs="Times New Roman"/>
          </w:rPr>
          <w:fldChar w:fldCharType="separate"/>
        </w:r>
        <w:r w:rsidR="00172CE0">
          <w:rPr>
            <w:rFonts w:ascii="Times New Roman" w:hAnsi="Times New Roman" w:cs="Times New Roman"/>
            <w:noProof/>
          </w:rPr>
          <w:t>9</w:t>
        </w:r>
        <w:r w:rsidRPr="00066267">
          <w:rPr>
            <w:rFonts w:ascii="Times New Roman" w:hAnsi="Times New Roman" w:cs="Times New Roman"/>
          </w:rPr>
          <w:fldChar w:fldCharType="end"/>
        </w:r>
      </w:p>
    </w:sdtContent>
  </w:sdt>
  <w:p w:rsidR="00066267" w:rsidRDefault="00066267">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267" w:rsidRDefault="00066267">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6267" w:rsidRDefault="00066267" w:rsidP="00066267">
      <w:pPr>
        <w:spacing w:after="0" w:line="240" w:lineRule="auto"/>
      </w:pPr>
      <w:r>
        <w:separator/>
      </w:r>
    </w:p>
  </w:footnote>
  <w:footnote w:type="continuationSeparator" w:id="0">
    <w:p w:rsidR="00066267" w:rsidRDefault="00066267" w:rsidP="000662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267" w:rsidRDefault="00066267">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267" w:rsidRDefault="00066267">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267" w:rsidRDefault="00066267">
    <w:pPr>
      <w:pStyle w:val="Zaglavlj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C178E7"/>
    <w:rsid w:val="00066267"/>
    <w:rsid w:val="00172CE0"/>
    <w:rsid w:val="00C178E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083EB"/>
  <w15:docId w15:val="{F632923C-5192-4BA3-BD2F-C5D010C7E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066267"/>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66267"/>
  </w:style>
  <w:style w:type="paragraph" w:styleId="Podnoje">
    <w:name w:val="footer"/>
    <w:basedOn w:val="Normal"/>
    <w:link w:val="PodnojeChar"/>
    <w:uiPriority w:val="99"/>
    <w:unhideWhenUsed/>
    <w:rsid w:val="00066267"/>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662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1232</Words>
  <Characters>7029</Characters>
  <Application>Microsoft Office Word</Application>
  <DocSecurity>0</DocSecurity>
  <Lines>58</Lines>
  <Paragraphs>16</Paragraphs>
  <ScaleCrop>false</ScaleCrop>
  <Company/>
  <LinksUpToDate>false</LinksUpToDate>
  <CharactersWithSpaces>8245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Ivana Hegeduš</cp:lastModifiedBy>
  <cp:revision>3</cp:revision>
  <dcterms:created xsi:type="dcterms:W3CDTF">2025-09-09T13:27:00Z</dcterms:created>
  <dcterms:modified xsi:type="dcterms:W3CDTF">2025-09-09T13:32:00Z</dcterms:modified>
</cp:coreProperties>
</file>